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E7EC3" w14:textId="77777777" w:rsidR="008A504A" w:rsidRPr="00211073" w:rsidRDefault="003B730A">
      <w:pPr>
        <w:spacing w:before="40" w:after="40"/>
        <w:rPr>
          <w:rFonts w:ascii="Times New Roman" w:hAnsi="Times New Roman" w:cs="Times New Roman"/>
          <w:sz w:val="22"/>
          <w:szCs w:val="22"/>
        </w:rPr>
      </w:pPr>
      <w:r w:rsidRPr="00211073">
        <w:rPr>
          <w:rFonts w:ascii="Times New Roman" w:hAnsi="Times New Roman" w:cs="Times New Roman"/>
          <w:b/>
          <w:bCs/>
          <w:sz w:val="22"/>
          <w:szCs w:val="22"/>
        </w:rPr>
        <w:t>SERVICE D’INFRASTRUCTURE DE LA DÉFENSE NORD-EST</w:t>
      </w:r>
    </w:p>
    <w:p w14:paraId="7F51D634" w14:textId="77777777" w:rsidR="008A504A" w:rsidRPr="00211073" w:rsidRDefault="003B730A">
      <w:pPr>
        <w:spacing w:before="40" w:after="40"/>
        <w:rPr>
          <w:rFonts w:ascii="Times New Roman" w:hAnsi="Times New Roman" w:cs="Times New Roman"/>
          <w:sz w:val="22"/>
          <w:szCs w:val="22"/>
        </w:rPr>
      </w:pPr>
      <w:r w:rsidRPr="00211073">
        <w:rPr>
          <w:rFonts w:ascii="Times New Roman" w:hAnsi="Times New Roman" w:cs="Times New Roman"/>
          <w:b/>
          <w:bCs/>
          <w:sz w:val="22"/>
          <w:szCs w:val="22"/>
        </w:rPr>
        <w:t>UNITÉ DE SOUTIEN DE L’INFRASTRUCTURE DE LA DÉFENSE DE BESANÇON</w:t>
      </w:r>
    </w:p>
    <w:p w14:paraId="01938128" w14:textId="77777777" w:rsidR="008A504A" w:rsidRDefault="00211073">
      <w:pPr>
        <w:spacing w:before="40" w:after="40"/>
        <w:rPr>
          <w:rFonts w:ascii="Times New Roman" w:hAnsi="Times New Roman" w:cs="Times New Roman"/>
          <w:b/>
          <w:bCs/>
          <w:sz w:val="22"/>
          <w:szCs w:val="22"/>
        </w:rPr>
      </w:pPr>
      <w:r w:rsidRPr="00211073">
        <w:rPr>
          <w:rFonts w:ascii="Times New Roman" w:hAnsi="Times New Roman" w:cs="Times New Roman"/>
          <w:b/>
          <w:bCs/>
          <w:sz w:val="22"/>
          <w:szCs w:val="22"/>
        </w:rPr>
        <w:t>SECTION EXPLOITATION DE LA MAINTENANCE</w:t>
      </w:r>
    </w:p>
    <w:p w14:paraId="12CE7D2D" w14:textId="77777777" w:rsidR="00211073" w:rsidRPr="00211073" w:rsidRDefault="00211073">
      <w:pPr>
        <w:spacing w:before="40" w:after="40"/>
        <w:rPr>
          <w:rFonts w:ascii="Times New Roman" w:hAnsi="Times New Roman" w:cs="Times New Roman"/>
          <w:b/>
          <w:bCs/>
          <w:sz w:val="22"/>
          <w:szCs w:val="22"/>
        </w:rPr>
      </w:pPr>
    </w:p>
    <w:p w14:paraId="16A4F02F" w14:textId="77777777" w:rsidR="008A504A" w:rsidRPr="00211073" w:rsidRDefault="003B730A">
      <w:pPr>
        <w:spacing w:before="40" w:after="40"/>
        <w:rPr>
          <w:rFonts w:ascii="Times New Roman" w:hAnsi="Times New Roman" w:cs="Times New Roman"/>
          <w:sz w:val="22"/>
          <w:szCs w:val="22"/>
        </w:rPr>
      </w:pPr>
      <w:r w:rsidRPr="00211073">
        <w:rPr>
          <w:rFonts w:ascii="Times New Roman" w:hAnsi="Times New Roman" w:cs="Times New Roman"/>
          <w:sz w:val="22"/>
          <w:szCs w:val="22"/>
        </w:rPr>
        <w:t>Quartier RUTY – 64, rue Bersot – BP 21437 – 25007 BESANÇON Cedex</w:t>
      </w:r>
    </w:p>
    <w:p w14:paraId="509EE8F8" w14:textId="77777777" w:rsidR="008A504A" w:rsidRPr="00211073" w:rsidRDefault="003B730A">
      <w:pPr>
        <w:spacing w:before="40" w:after="240"/>
        <w:rPr>
          <w:rFonts w:ascii="Times New Roman" w:hAnsi="Times New Roman" w:cs="Times New Roman"/>
          <w:sz w:val="22"/>
          <w:szCs w:val="22"/>
        </w:rPr>
      </w:pPr>
      <w:r w:rsidRPr="00211073">
        <w:rPr>
          <w:rFonts w:ascii="Times New Roman" w:hAnsi="Times New Roman" w:cs="Times New Roman"/>
          <w:sz w:val="22"/>
          <w:szCs w:val="22"/>
        </w:rPr>
        <w:t>Affaire suivie par : Indira ZERIC</w:t>
      </w:r>
    </w:p>
    <w:p w14:paraId="7B5C4287" w14:textId="0744AC38" w:rsidR="008A504A" w:rsidRDefault="003B730A">
      <w:pPr>
        <w:spacing w:before="40" w:after="240"/>
        <w:rPr>
          <w:rFonts w:ascii="Times New Roman" w:hAnsi="Times New Roman" w:cs="Times New Roman"/>
          <w:sz w:val="22"/>
          <w:szCs w:val="22"/>
        </w:rPr>
      </w:pPr>
      <w:r w:rsidRPr="00211073">
        <w:rPr>
          <w:rFonts w:ascii="Times New Roman" w:hAnsi="Times New Roman" w:cs="Times New Roman"/>
          <w:sz w:val="22"/>
          <w:szCs w:val="22"/>
        </w:rPr>
        <w:t>Marché</w:t>
      </w:r>
      <w:r w:rsidR="002D4FA7">
        <w:rPr>
          <w:rFonts w:ascii="Times New Roman" w:hAnsi="Times New Roman" w:cs="Times New Roman"/>
          <w:sz w:val="22"/>
          <w:szCs w:val="22"/>
        </w:rPr>
        <w:t xml:space="preserve"> n° 25USID05-</w:t>
      </w:r>
      <w:r w:rsidRPr="00211073">
        <w:rPr>
          <w:rFonts w:ascii="Times New Roman" w:hAnsi="Times New Roman" w:cs="Times New Roman"/>
          <w:sz w:val="22"/>
          <w:szCs w:val="22"/>
        </w:rPr>
        <w:t>014 – N° COSI : 467900</w:t>
      </w:r>
    </w:p>
    <w:p w14:paraId="18264577" w14:textId="0D5CAA19" w:rsidR="00211073" w:rsidRPr="00211073" w:rsidRDefault="00211073">
      <w:pPr>
        <w:spacing w:before="40" w:after="240"/>
        <w:rPr>
          <w:rFonts w:ascii="Times New Roman" w:hAnsi="Times New Roman" w:cs="Times New Roman"/>
          <w:sz w:val="22"/>
          <w:szCs w:val="22"/>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466"/>
      </w:tblGrid>
      <w:tr w:rsidR="008A504A" w:rsidRPr="00211073" w14:paraId="2F15FC7D" w14:textId="77777777" w:rsidTr="00C62C71">
        <w:tc>
          <w:tcPr>
            <w:tcW w:w="10466" w:type="dxa"/>
            <w:shd w:val="clear" w:color="auto" w:fill="BFBFBF" w:themeFill="background1" w:themeFillShade="BF"/>
            <w:tcMar>
              <w:top w:w="40" w:type="dxa"/>
              <w:left w:w="80" w:type="dxa"/>
              <w:bottom w:w="40" w:type="dxa"/>
              <w:right w:w="80" w:type="dxa"/>
            </w:tcMar>
            <w:vAlign w:val="center"/>
          </w:tcPr>
          <w:p w14:paraId="0F43A89F" w14:textId="77777777" w:rsidR="008A504A" w:rsidRPr="00211073" w:rsidRDefault="003B730A">
            <w:pPr>
              <w:spacing w:before="120" w:after="40"/>
              <w:jc w:val="center"/>
              <w:rPr>
                <w:rFonts w:ascii="Times New Roman" w:hAnsi="Times New Roman" w:cs="Times New Roman"/>
                <w:sz w:val="40"/>
                <w:szCs w:val="40"/>
              </w:rPr>
            </w:pPr>
            <w:r w:rsidRPr="00211073">
              <w:rPr>
                <w:rFonts w:ascii="Times New Roman" w:hAnsi="Times New Roman" w:cs="Times New Roman"/>
                <w:b/>
                <w:bCs/>
                <w:sz w:val="40"/>
                <w:szCs w:val="40"/>
              </w:rPr>
              <w:t>DEVIS DESCRIPTIF ET ESTIMATIF DÉTAILLÉ</w:t>
            </w:r>
          </w:p>
          <w:p w14:paraId="31A88CB1" w14:textId="77777777" w:rsidR="008A504A" w:rsidRDefault="003B730A" w:rsidP="009050CA">
            <w:pPr>
              <w:spacing w:before="120" w:after="40"/>
              <w:jc w:val="center"/>
              <w:rPr>
                <w:rFonts w:ascii="Times New Roman" w:hAnsi="Times New Roman" w:cs="Times New Roman"/>
                <w:b/>
                <w:bCs/>
                <w:sz w:val="40"/>
                <w:szCs w:val="40"/>
              </w:rPr>
            </w:pPr>
            <w:r w:rsidRPr="00211073">
              <w:rPr>
                <w:rFonts w:ascii="Times New Roman" w:hAnsi="Times New Roman" w:cs="Times New Roman"/>
                <w:b/>
                <w:bCs/>
                <w:sz w:val="40"/>
                <w:szCs w:val="40"/>
              </w:rPr>
              <w:t>(D.D.E.D.)</w:t>
            </w:r>
          </w:p>
          <w:p w14:paraId="2A2A2D3B" w14:textId="77777777" w:rsidR="009050CA" w:rsidRPr="00211073" w:rsidRDefault="009050CA" w:rsidP="009050CA">
            <w:pPr>
              <w:spacing w:before="120" w:after="40"/>
              <w:jc w:val="center"/>
              <w:rPr>
                <w:rFonts w:ascii="Times New Roman" w:hAnsi="Times New Roman" w:cs="Times New Roman"/>
                <w:sz w:val="22"/>
                <w:szCs w:val="22"/>
              </w:rPr>
            </w:pPr>
          </w:p>
        </w:tc>
      </w:tr>
    </w:tbl>
    <w:p w14:paraId="798408E5" w14:textId="77777777" w:rsidR="008A504A" w:rsidRDefault="008A504A">
      <w:pPr>
        <w:spacing w:before="40" w:after="40"/>
        <w:rPr>
          <w:rFonts w:ascii="Times New Roman" w:hAnsi="Times New Roman" w:cs="Times New Roman"/>
          <w:sz w:val="22"/>
          <w:szCs w:val="22"/>
        </w:rPr>
      </w:pPr>
    </w:p>
    <w:p w14:paraId="5A7A79BB" w14:textId="5D8D3A95" w:rsidR="00211073" w:rsidRPr="00211073" w:rsidRDefault="00211073">
      <w:pPr>
        <w:spacing w:before="40" w:after="40"/>
        <w:rPr>
          <w:rFonts w:ascii="Times New Roman" w:hAnsi="Times New Roman" w:cs="Times New Roman"/>
          <w:sz w:val="22"/>
          <w:szCs w:val="22"/>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466"/>
      </w:tblGrid>
      <w:tr w:rsidR="008A504A" w:rsidRPr="00211073" w14:paraId="3296B189" w14:textId="77777777" w:rsidTr="00C62C71">
        <w:tc>
          <w:tcPr>
            <w:tcW w:w="10466" w:type="dxa"/>
            <w:shd w:val="clear" w:color="auto" w:fill="BFBFBF" w:themeFill="background1" w:themeFillShade="BF"/>
            <w:tcMar>
              <w:top w:w="40" w:type="dxa"/>
              <w:left w:w="80" w:type="dxa"/>
              <w:bottom w:w="40" w:type="dxa"/>
              <w:right w:w="80" w:type="dxa"/>
            </w:tcMar>
            <w:vAlign w:val="center"/>
          </w:tcPr>
          <w:p w14:paraId="4DAE21E7" w14:textId="1406F71F" w:rsidR="002D4FA7" w:rsidRPr="002D4FA7" w:rsidRDefault="002D4FA7">
            <w:pPr>
              <w:spacing w:before="120" w:after="40"/>
              <w:jc w:val="center"/>
              <w:rPr>
                <w:rFonts w:ascii="Times New Roman" w:hAnsi="Times New Roman" w:cs="Times New Roman"/>
                <w:b/>
                <w:bCs/>
                <w:color w:val="FF0000"/>
                <w:sz w:val="28"/>
                <w:szCs w:val="28"/>
              </w:rPr>
            </w:pPr>
            <w:r w:rsidRPr="002D4FA7">
              <w:rPr>
                <w:rFonts w:ascii="Times New Roman" w:hAnsi="Times New Roman" w:cs="Times New Roman"/>
                <w:b/>
                <w:bCs/>
                <w:color w:val="FF0000"/>
                <w:sz w:val="28"/>
                <w:szCs w:val="28"/>
              </w:rPr>
              <w:t>DAF_2025_001545</w:t>
            </w:r>
          </w:p>
          <w:p w14:paraId="4AA932EA" w14:textId="212595B5" w:rsidR="008A504A" w:rsidRPr="00211073" w:rsidRDefault="003B730A" w:rsidP="005B11DB">
            <w:pPr>
              <w:spacing w:before="120" w:after="40"/>
              <w:jc w:val="center"/>
              <w:rPr>
                <w:rFonts w:ascii="Times New Roman" w:hAnsi="Times New Roman" w:cs="Times New Roman"/>
                <w:sz w:val="28"/>
                <w:szCs w:val="28"/>
              </w:rPr>
            </w:pPr>
            <w:r w:rsidRPr="00211073">
              <w:rPr>
                <w:rFonts w:ascii="Times New Roman" w:hAnsi="Times New Roman" w:cs="Times New Roman"/>
                <w:b/>
                <w:bCs/>
                <w:sz w:val="28"/>
                <w:szCs w:val="28"/>
              </w:rPr>
              <w:t>BESANCON (25)</w:t>
            </w:r>
          </w:p>
          <w:p w14:paraId="58131CDD" w14:textId="77777777" w:rsidR="00211073" w:rsidRDefault="003B730A">
            <w:pPr>
              <w:spacing w:before="40" w:after="40"/>
              <w:jc w:val="center"/>
              <w:rPr>
                <w:rFonts w:ascii="Times New Roman" w:hAnsi="Times New Roman" w:cs="Times New Roman"/>
                <w:b/>
                <w:bCs/>
                <w:sz w:val="28"/>
                <w:szCs w:val="28"/>
              </w:rPr>
            </w:pPr>
            <w:r w:rsidRPr="00211073">
              <w:rPr>
                <w:rFonts w:ascii="Times New Roman" w:hAnsi="Times New Roman" w:cs="Times New Roman"/>
                <w:b/>
                <w:bCs/>
                <w:sz w:val="28"/>
                <w:szCs w:val="28"/>
              </w:rPr>
              <w:t>– Quartier B</w:t>
            </w:r>
            <w:r w:rsidR="00B8178E">
              <w:rPr>
                <w:rFonts w:ascii="Times New Roman" w:hAnsi="Times New Roman" w:cs="Times New Roman"/>
                <w:b/>
                <w:bCs/>
                <w:sz w:val="28"/>
                <w:szCs w:val="28"/>
              </w:rPr>
              <w:t xml:space="preserve">RUN – Bâtiment 87 et Bâtiments 72, 73, </w:t>
            </w:r>
            <w:r w:rsidRPr="00211073">
              <w:rPr>
                <w:rFonts w:ascii="Times New Roman" w:hAnsi="Times New Roman" w:cs="Times New Roman"/>
                <w:b/>
                <w:bCs/>
                <w:sz w:val="28"/>
                <w:szCs w:val="28"/>
              </w:rPr>
              <w:t>74 (H) –</w:t>
            </w:r>
          </w:p>
          <w:p w14:paraId="70472CAA" w14:textId="77777777" w:rsidR="008A504A" w:rsidRPr="00211073" w:rsidRDefault="003B730A">
            <w:pPr>
              <w:spacing w:before="40" w:after="40"/>
              <w:jc w:val="center"/>
              <w:rPr>
                <w:rFonts w:ascii="Times New Roman" w:hAnsi="Times New Roman" w:cs="Times New Roman"/>
                <w:sz w:val="28"/>
                <w:szCs w:val="28"/>
              </w:rPr>
            </w:pPr>
            <w:r w:rsidRPr="00211073">
              <w:rPr>
                <w:rFonts w:ascii="Times New Roman" w:hAnsi="Times New Roman" w:cs="Times New Roman"/>
                <w:b/>
                <w:bCs/>
                <w:sz w:val="28"/>
                <w:szCs w:val="28"/>
              </w:rPr>
              <w:t xml:space="preserve"> Ré</w:t>
            </w:r>
            <w:r w:rsidR="00B8178E">
              <w:rPr>
                <w:rFonts w:ascii="Times New Roman" w:hAnsi="Times New Roman" w:cs="Times New Roman"/>
                <w:b/>
                <w:bCs/>
                <w:sz w:val="28"/>
                <w:szCs w:val="28"/>
              </w:rPr>
              <w:t>habilitation</w:t>
            </w:r>
            <w:r w:rsidRPr="00211073">
              <w:rPr>
                <w:rFonts w:ascii="Times New Roman" w:hAnsi="Times New Roman" w:cs="Times New Roman"/>
                <w:b/>
                <w:bCs/>
                <w:sz w:val="28"/>
                <w:szCs w:val="28"/>
              </w:rPr>
              <w:t xml:space="preserve"> des bâtiments.</w:t>
            </w:r>
          </w:p>
          <w:p w14:paraId="7589628D" w14:textId="77777777" w:rsidR="008A504A" w:rsidRPr="00211073" w:rsidRDefault="003B730A">
            <w:pPr>
              <w:spacing w:before="160" w:after="120"/>
              <w:jc w:val="center"/>
              <w:rPr>
                <w:rFonts w:ascii="Times New Roman" w:hAnsi="Times New Roman" w:cs="Times New Roman"/>
                <w:sz w:val="22"/>
                <w:szCs w:val="22"/>
              </w:rPr>
            </w:pPr>
            <w:r w:rsidRPr="00211073">
              <w:rPr>
                <w:rFonts w:ascii="Times New Roman" w:hAnsi="Times New Roman" w:cs="Times New Roman"/>
                <w:b/>
                <w:bCs/>
                <w:sz w:val="28"/>
                <w:szCs w:val="28"/>
              </w:rPr>
              <w:t>LOT N° 01 : GROS-ŒUVRE</w:t>
            </w:r>
          </w:p>
        </w:tc>
      </w:tr>
    </w:tbl>
    <w:p w14:paraId="5A25A76A" w14:textId="77777777" w:rsidR="008A504A" w:rsidRPr="00211073" w:rsidRDefault="008A504A">
      <w:pPr>
        <w:spacing w:before="40" w:after="40"/>
        <w:rPr>
          <w:rFonts w:ascii="Times New Roman" w:hAnsi="Times New Roman" w:cs="Times New Roman"/>
          <w:sz w:val="22"/>
          <w:szCs w:val="22"/>
        </w:rPr>
      </w:pPr>
    </w:p>
    <w:p w14:paraId="719474C2" w14:textId="77777777" w:rsidR="008A504A" w:rsidRDefault="008A504A">
      <w:pPr>
        <w:spacing w:before="40" w:after="300"/>
        <w:rPr>
          <w:rFonts w:ascii="Times New Roman" w:hAnsi="Times New Roman" w:cs="Times New Roman"/>
          <w:sz w:val="22"/>
          <w:szCs w:val="22"/>
        </w:rPr>
      </w:pPr>
    </w:p>
    <w:p w14:paraId="67501BDA" w14:textId="77777777" w:rsidR="00211073" w:rsidRDefault="00211073">
      <w:pPr>
        <w:spacing w:before="40" w:after="300"/>
        <w:rPr>
          <w:rFonts w:ascii="Times New Roman" w:hAnsi="Times New Roman" w:cs="Times New Roman"/>
          <w:sz w:val="22"/>
          <w:szCs w:val="22"/>
        </w:rPr>
      </w:pPr>
    </w:p>
    <w:p w14:paraId="07497143" w14:textId="77777777" w:rsidR="00211073" w:rsidRPr="00211073" w:rsidRDefault="00211073">
      <w:pPr>
        <w:spacing w:before="40" w:after="300"/>
        <w:rPr>
          <w:rFonts w:ascii="Times New Roman" w:hAnsi="Times New Roman" w:cs="Times New Roman"/>
          <w:sz w:val="22"/>
          <w:szCs w:val="22"/>
        </w:rPr>
      </w:pPr>
    </w:p>
    <w:p w14:paraId="278ABC82" w14:textId="77777777" w:rsidR="008A504A" w:rsidRPr="00211073" w:rsidRDefault="003B730A">
      <w:pPr>
        <w:spacing w:before="200" w:after="40"/>
        <w:rPr>
          <w:rFonts w:ascii="Times New Roman" w:hAnsi="Times New Roman" w:cs="Times New Roman"/>
          <w:sz w:val="22"/>
          <w:szCs w:val="22"/>
        </w:rPr>
      </w:pPr>
      <w:r w:rsidRPr="00211073">
        <w:rPr>
          <w:rFonts w:ascii="Times New Roman" w:hAnsi="Times New Roman" w:cs="Times New Roman"/>
          <w:b/>
          <w:bCs/>
          <w:sz w:val="22"/>
          <w:szCs w:val="22"/>
        </w:rPr>
        <w:t>NOTA – MODALITÉS D’ÉTABLISSEMENT DES PRIX</w:t>
      </w:r>
    </w:p>
    <w:p w14:paraId="106E7E4D" w14:textId="77777777" w:rsidR="008A504A" w:rsidRPr="00211073" w:rsidRDefault="003B730A" w:rsidP="00277F68">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 xml:space="preserve">1. Le présent DDED est indissociable du CCTP du lot n°1 « Gros-Œuvre » (sections techniques 1 à 4), du CCAP, du carnet de plans (états existant et projeté des </w:t>
      </w:r>
      <w:r w:rsidR="00B8178E">
        <w:rPr>
          <w:rFonts w:ascii="Times New Roman" w:hAnsi="Times New Roman" w:cs="Times New Roman"/>
          <w:sz w:val="22"/>
          <w:szCs w:val="22"/>
        </w:rPr>
        <w:t>bâtiments 87 et H 72-73-</w:t>
      </w:r>
      <w:r w:rsidRPr="00211073">
        <w:rPr>
          <w:rFonts w:ascii="Times New Roman" w:hAnsi="Times New Roman" w:cs="Times New Roman"/>
          <w:sz w:val="22"/>
          <w:szCs w:val="22"/>
        </w:rPr>
        <w:t>74), de l’étude géotechnique G2 AVP (GÉOTEC n° 2603796/BESAN, indice 0), de la note sismique,</w:t>
      </w:r>
      <w:r w:rsidR="00B8178E">
        <w:rPr>
          <w:rFonts w:ascii="Times New Roman" w:hAnsi="Times New Roman" w:cs="Times New Roman"/>
          <w:sz w:val="22"/>
          <w:szCs w:val="22"/>
        </w:rPr>
        <w:t xml:space="preserve"> des plans</w:t>
      </w:r>
      <w:r w:rsidRPr="00211073">
        <w:rPr>
          <w:rFonts w:ascii="Times New Roman" w:hAnsi="Times New Roman" w:cs="Times New Roman"/>
          <w:sz w:val="22"/>
          <w:szCs w:val="22"/>
        </w:rPr>
        <w:t xml:space="preserve"> ainsi que des diagnostics amiante et plomb avant travaux. Chaque prix rémunère l’ouvrage complet, fini, en ordre de marche, toutes sujétions comprises, conformément aux prescriptions du CCTP.</w:t>
      </w:r>
    </w:p>
    <w:p w14:paraId="79F016DA" w14:textId="77777777" w:rsidR="008A504A" w:rsidRPr="00211073" w:rsidRDefault="00B8178E" w:rsidP="00277F68">
      <w:pPr>
        <w:spacing w:before="40" w:after="40"/>
        <w:jc w:val="both"/>
        <w:rPr>
          <w:rFonts w:ascii="Times New Roman" w:hAnsi="Times New Roman" w:cs="Times New Roman"/>
          <w:sz w:val="22"/>
          <w:szCs w:val="22"/>
        </w:rPr>
      </w:pPr>
      <w:r>
        <w:rPr>
          <w:rFonts w:ascii="Times New Roman" w:hAnsi="Times New Roman" w:cs="Times New Roman"/>
          <w:sz w:val="22"/>
          <w:szCs w:val="22"/>
        </w:rPr>
        <w:t>2. C</w:t>
      </w:r>
      <w:r w:rsidR="003B730A" w:rsidRPr="00211073">
        <w:rPr>
          <w:rFonts w:ascii="Times New Roman" w:hAnsi="Times New Roman" w:cs="Times New Roman"/>
          <w:sz w:val="22"/>
          <w:szCs w:val="22"/>
        </w:rPr>
        <w:t>onformément à l’article 2.3 du CCTP, le candidat est réputé avoir pris connaissance des lieux, du carnet de plans et de la consistance ex</w:t>
      </w:r>
      <w:r>
        <w:rPr>
          <w:rFonts w:ascii="Times New Roman" w:hAnsi="Times New Roman" w:cs="Times New Roman"/>
          <w:sz w:val="22"/>
          <w:szCs w:val="22"/>
        </w:rPr>
        <w:t>acte des travaux, et vérifier</w:t>
      </w:r>
      <w:r w:rsidR="003B730A" w:rsidRPr="00211073">
        <w:rPr>
          <w:rFonts w:ascii="Times New Roman" w:hAnsi="Times New Roman" w:cs="Times New Roman"/>
          <w:sz w:val="22"/>
          <w:szCs w:val="22"/>
        </w:rPr>
        <w:t xml:space="preserve"> les quantités sous sa seule responsabilité avant remise de son offre (marché à prix global et forfaitaire). </w:t>
      </w:r>
    </w:p>
    <w:p w14:paraId="0AA9A2F5" w14:textId="77777777" w:rsidR="008A504A" w:rsidRPr="00211073" w:rsidRDefault="003B730A" w:rsidP="00277F68">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3. Chaque prix intègre : les études et plans d’exécution (BET structure, mission géotechnique G3 à la charge du titulaire), l’amenée et le repli du matériel, la main-d’œuvre, les fournitures, les essais et contrôles, la gestion et l’évacuation des déchets en filières agréées avec bordereaux de suivi (BSD) et SOGED, les protections, les nettoyages, ainsi que les sujétions liées au site militaire (accès, contrôles, horaires, consignes de sûreté du Quartier Brun).</w:t>
      </w:r>
    </w:p>
    <w:p w14:paraId="28DD4AED" w14:textId="77777777" w:rsidR="008A504A" w:rsidRPr="00211073" w:rsidRDefault="003B730A" w:rsidP="00277F68">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 xml:space="preserve">4. En cas de discordance entre plans et descriptif, la solution la plus onéreuse est réputée incluse dans les prix (article 2.3 du CCTP). Les réservations demandées en temps utile par les autres lots sont dues </w:t>
      </w:r>
      <w:r w:rsidR="00B8178E">
        <w:rPr>
          <w:rFonts w:ascii="Times New Roman" w:hAnsi="Times New Roman" w:cs="Times New Roman"/>
          <w:sz w:val="22"/>
          <w:szCs w:val="22"/>
        </w:rPr>
        <w:t xml:space="preserve">dans le prix </w:t>
      </w:r>
      <w:r w:rsidRPr="00211073">
        <w:rPr>
          <w:rFonts w:ascii="Times New Roman" w:hAnsi="Times New Roman" w:cs="Times New Roman"/>
          <w:sz w:val="22"/>
          <w:szCs w:val="22"/>
        </w:rPr>
        <w:t>(article 2.2.1).</w:t>
      </w:r>
      <w:r w:rsidRPr="00211073">
        <w:rPr>
          <w:rFonts w:ascii="Times New Roman" w:hAnsi="Times New Roman" w:cs="Times New Roman"/>
          <w:sz w:val="22"/>
          <w:szCs w:val="22"/>
        </w:rPr>
        <w:br w:type="page"/>
      </w:r>
    </w:p>
    <w:p w14:paraId="4C90293C" w14:textId="77777777" w:rsidR="008A504A" w:rsidRPr="00211073" w:rsidRDefault="003B730A">
      <w:pPr>
        <w:spacing w:before="40" w:after="60"/>
        <w:jc w:val="center"/>
        <w:rPr>
          <w:rFonts w:ascii="Times New Roman" w:hAnsi="Times New Roman" w:cs="Times New Roman"/>
          <w:sz w:val="28"/>
          <w:szCs w:val="28"/>
        </w:rPr>
      </w:pPr>
      <w:r w:rsidRPr="00211073">
        <w:rPr>
          <w:rFonts w:ascii="Times New Roman" w:hAnsi="Times New Roman" w:cs="Times New Roman"/>
          <w:b/>
          <w:bCs/>
          <w:sz w:val="28"/>
          <w:szCs w:val="28"/>
        </w:rPr>
        <w:lastRenderedPageBreak/>
        <w:t>DEVIS DESCRIPTIF ET ESTIMATIF DÉTAILLÉ (D.D.E.D.)</w:t>
      </w:r>
    </w:p>
    <w:p w14:paraId="518AB30B" w14:textId="7C1BDFB5" w:rsidR="008A504A" w:rsidRPr="00211073" w:rsidRDefault="003B730A">
      <w:pPr>
        <w:spacing w:before="40" w:after="160"/>
        <w:jc w:val="center"/>
        <w:rPr>
          <w:rFonts w:ascii="Times New Roman" w:hAnsi="Times New Roman" w:cs="Times New Roman"/>
          <w:sz w:val="28"/>
          <w:szCs w:val="28"/>
        </w:rPr>
      </w:pPr>
      <w:r w:rsidRPr="00211073">
        <w:rPr>
          <w:rFonts w:ascii="Times New Roman" w:hAnsi="Times New Roman" w:cs="Times New Roman"/>
          <w:b/>
          <w:bCs/>
          <w:sz w:val="28"/>
          <w:szCs w:val="28"/>
        </w:rPr>
        <w:t>LOT N° 01 : G</w:t>
      </w:r>
      <w:r w:rsidR="005B11DB">
        <w:rPr>
          <w:rFonts w:ascii="Times New Roman" w:hAnsi="Times New Roman" w:cs="Times New Roman"/>
          <w:b/>
          <w:bCs/>
          <w:sz w:val="28"/>
          <w:szCs w:val="28"/>
        </w:rPr>
        <w:t>ROS-ŒUVRE</w:t>
      </w:r>
    </w:p>
    <w:tbl>
      <w:tblPr>
        <w:tblW w:w="10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271"/>
        <w:gridCol w:w="5103"/>
        <w:gridCol w:w="688"/>
        <w:gridCol w:w="992"/>
        <w:gridCol w:w="1133"/>
        <w:gridCol w:w="1405"/>
      </w:tblGrid>
      <w:tr w:rsidR="008A504A" w:rsidRPr="00211073" w14:paraId="3F317D9F" w14:textId="77777777" w:rsidTr="00E776C5">
        <w:trPr>
          <w:tblHeader/>
        </w:trPr>
        <w:tc>
          <w:tcPr>
            <w:tcW w:w="1271" w:type="dxa"/>
            <w:shd w:val="clear" w:color="auto" w:fill="D9D9D9"/>
            <w:tcMar>
              <w:top w:w="40" w:type="dxa"/>
              <w:left w:w="80" w:type="dxa"/>
              <w:bottom w:w="40" w:type="dxa"/>
              <w:right w:w="80" w:type="dxa"/>
            </w:tcMar>
            <w:vAlign w:val="center"/>
          </w:tcPr>
          <w:p w14:paraId="51039B7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b/>
                <w:bCs/>
                <w:sz w:val="22"/>
                <w:szCs w:val="22"/>
              </w:rPr>
              <w:t>Réf. CCTP</w:t>
            </w:r>
          </w:p>
        </w:tc>
        <w:tc>
          <w:tcPr>
            <w:tcW w:w="5103" w:type="dxa"/>
            <w:shd w:val="clear" w:color="auto" w:fill="D9D9D9"/>
            <w:tcMar>
              <w:top w:w="40" w:type="dxa"/>
              <w:left w:w="80" w:type="dxa"/>
              <w:bottom w:w="40" w:type="dxa"/>
              <w:right w:w="80" w:type="dxa"/>
            </w:tcMar>
            <w:vAlign w:val="center"/>
          </w:tcPr>
          <w:p w14:paraId="126F0DD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b/>
                <w:bCs/>
                <w:sz w:val="22"/>
                <w:szCs w:val="22"/>
              </w:rPr>
              <w:t>Désignation des ouvrages</w:t>
            </w:r>
          </w:p>
        </w:tc>
        <w:tc>
          <w:tcPr>
            <w:tcW w:w="688" w:type="dxa"/>
            <w:shd w:val="clear" w:color="auto" w:fill="D9D9D9"/>
            <w:tcMar>
              <w:top w:w="40" w:type="dxa"/>
              <w:left w:w="80" w:type="dxa"/>
              <w:bottom w:w="40" w:type="dxa"/>
              <w:right w:w="80" w:type="dxa"/>
            </w:tcMar>
            <w:vAlign w:val="center"/>
          </w:tcPr>
          <w:p w14:paraId="497328D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b/>
                <w:bCs/>
                <w:sz w:val="22"/>
                <w:szCs w:val="22"/>
              </w:rPr>
              <w:t>Unité</w:t>
            </w:r>
          </w:p>
        </w:tc>
        <w:tc>
          <w:tcPr>
            <w:tcW w:w="992" w:type="dxa"/>
            <w:shd w:val="clear" w:color="auto" w:fill="D9D9D9"/>
            <w:tcMar>
              <w:top w:w="40" w:type="dxa"/>
              <w:left w:w="80" w:type="dxa"/>
              <w:bottom w:w="40" w:type="dxa"/>
              <w:right w:w="80" w:type="dxa"/>
            </w:tcMar>
            <w:vAlign w:val="center"/>
          </w:tcPr>
          <w:p w14:paraId="61F2358A" w14:textId="0D6BCB69"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b/>
                <w:bCs/>
                <w:sz w:val="22"/>
                <w:szCs w:val="22"/>
              </w:rPr>
              <w:t>Quantité</w:t>
            </w:r>
          </w:p>
        </w:tc>
        <w:tc>
          <w:tcPr>
            <w:tcW w:w="1133" w:type="dxa"/>
            <w:shd w:val="clear" w:color="auto" w:fill="D9D9D9"/>
            <w:tcMar>
              <w:top w:w="40" w:type="dxa"/>
              <w:left w:w="80" w:type="dxa"/>
              <w:bottom w:w="40" w:type="dxa"/>
              <w:right w:w="80" w:type="dxa"/>
            </w:tcMar>
            <w:vAlign w:val="center"/>
          </w:tcPr>
          <w:p w14:paraId="23FCD7E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b/>
                <w:bCs/>
                <w:sz w:val="22"/>
                <w:szCs w:val="22"/>
              </w:rPr>
              <w:t>Prix unitaire € HT</w:t>
            </w:r>
          </w:p>
        </w:tc>
        <w:tc>
          <w:tcPr>
            <w:tcW w:w="1405" w:type="dxa"/>
            <w:shd w:val="clear" w:color="auto" w:fill="D9D9D9"/>
            <w:tcMar>
              <w:top w:w="40" w:type="dxa"/>
              <w:left w:w="80" w:type="dxa"/>
              <w:bottom w:w="40" w:type="dxa"/>
              <w:right w:w="80" w:type="dxa"/>
            </w:tcMar>
            <w:vAlign w:val="center"/>
          </w:tcPr>
          <w:p w14:paraId="35F2D06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b/>
                <w:bCs/>
                <w:sz w:val="22"/>
                <w:szCs w:val="22"/>
              </w:rPr>
              <w:t>Montant total € HT</w:t>
            </w:r>
          </w:p>
        </w:tc>
      </w:tr>
      <w:tr w:rsidR="008A504A" w:rsidRPr="00211073" w14:paraId="5137FB6A" w14:textId="77777777" w:rsidTr="002E467D">
        <w:tc>
          <w:tcPr>
            <w:tcW w:w="10592" w:type="dxa"/>
            <w:gridSpan w:val="6"/>
            <w:shd w:val="clear" w:color="auto" w:fill="A6A6A6"/>
            <w:tcMar>
              <w:top w:w="40" w:type="dxa"/>
              <w:left w:w="80" w:type="dxa"/>
              <w:bottom w:w="40" w:type="dxa"/>
              <w:right w:w="80" w:type="dxa"/>
            </w:tcMar>
            <w:vAlign w:val="center"/>
          </w:tcPr>
          <w:p w14:paraId="68AD08D0" w14:textId="77777777" w:rsidR="008A504A" w:rsidRPr="00211073" w:rsidRDefault="003B730A">
            <w:pPr>
              <w:spacing w:before="40" w:after="40"/>
              <w:rPr>
                <w:rFonts w:ascii="Times New Roman" w:hAnsi="Times New Roman" w:cs="Times New Roman"/>
                <w:sz w:val="22"/>
                <w:szCs w:val="22"/>
              </w:rPr>
            </w:pPr>
            <w:r w:rsidRPr="00211073">
              <w:rPr>
                <w:rFonts w:ascii="Times New Roman" w:hAnsi="Times New Roman" w:cs="Times New Roman"/>
                <w:b/>
                <w:bCs/>
                <w:sz w:val="22"/>
                <w:szCs w:val="22"/>
              </w:rPr>
              <w:t>SECTION TECHNIQUE N° 1 – INSTALLATION DE CHANTIER, IMPLANTATION, TERRASSEMENT, VRD</w:t>
            </w:r>
          </w:p>
        </w:tc>
      </w:tr>
      <w:tr w:rsidR="008A504A" w:rsidRPr="00211073" w14:paraId="154B574D" w14:textId="77777777" w:rsidTr="002E467D">
        <w:tc>
          <w:tcPr>
            <w:tcW w:w="10592" w:type="dxa"/>
            <w:gridSpan w:val="6"/>
            <w:shd w:val="clear" w:color="auto" w:fill="BFBFBF"/>
            <w:tcMar>
              <w:top w:w="40" w:type="dxa"/>
              <w:left w:w="80" w:type="dxa"/>
              <w:bottom w:w="40" w:type="dxa"/>
              <w:right w:w="80" w:type="dxa"/>
            </w:tcMar>
            <w:vAlign w:val="center"/>
          </w:tcPr>
          <w:p w14:paraId="6BB4E1E7" w14:textId="77777777" w:rsidR="008A504A" w:rsidRPr="00211073" w:rsidRDefault="003B730A">
            <w:pPr>
              <w:spacing w:before="40" w:after="40"/>
              <w:rPr>
                <w:rFonts w:ascii="Times New Roman" w:hAnsi="Times New Roman" w:cs="Times New Roman"/>
                <w:sz w:val="22"/>
                <w:szCs w:val="22"/>
              </w:rPr>
            </w:pPr>
            <w:r w:rsidRPr="00211073">
              <w:rPr>
                <w:rFonts w:ascii="Times New Roman" w:hAnsi="Times New Roman" w:cs="Times New Roman"/>
                <w:b/>
                <w:bCs/>
                <w:sz w:val="22"/>
                <w:szCs w:val="22"/>
              </w:rPr>
              <w:t>1.1 – Installation de chantier (CCTP § 3.1.1)</w:t>
            </w:r>
          </w:p>
        </w:tc>
      </w:tr>
      <w:tr w:rsidR="008A504A" w:rsidRPr="00211073" w14:paraId="7B96733B" w14:textId="77777777" w:rsidTr="00E776C5">
        <w:tc>
          <w:tcPr>
            <w:tcW w:w="1271" w:type="dxa"/>
            <w:tcMar>
              <w:top w:w="40" w:type="dxa"/>
              <w:left w:w="80" w:type="dxa"/>
              <w:bottom w:w="40" w:type="dxa"/>
              <w:right w:w="80" w:type="dxa"/>
            </w:tcMar>
            <w:vAlign w:val="center"/>
          </w:tcPr>
          <w:p w14:paraId="0660EC8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3.1.1</w:t>
            </w:r>
          </w:p>
        </w:tc>
        <w:tc>
          <w:tcPr>
            <w:tcW w:w="5103" w:type="dxa"/>
            <w:tcMar>
              <w:top w:w="40" w:type="dxa"/>
              <w:left w:w="80" w:type="dxa"/>
              <w:bottom w:w="40" w:type="dxa"/>
              <w:right w:w="80" w:type="dxa"/>
            </w:tcMar>
            <w:vAlign w:val="center"/>
          </w:tcPr>
          <w:p w14:paraId="4F5EE2C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1.1.1 – Installation de chantier commune tous corps d’état</w:t>
            </w:r>
          </w:p>
          <w:p w14:paraId="062F40D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Mise en place, entretien et repli en fin de travaux de la base vie pour l’ensemble des corps de métiers intervenant sur les bâtiments 087 et H, pour toute la durée du chantier : bureaux de chantier, vestiaires, sanitaires, réfectoire, alimentations eau et électricité (coffrets contrôlés), éclairage, chauffage éventuel, aires de stockage et de stationnement, moyens de levage, de manutention et d’accès, protections collectives et individuelles, signalisation vis-à-vis des occupants, entretien, gestion des déchets et repliement. Implantation de la base vie soumise à validation du maître d’œuvre et de l’autorité militaire. Y compris fourniture, pose et relevés contradictoires des compteurs de raccordement (consommations remboursées au GSBdD).</w:t>
            </w:r>
          </w:p>
        </w:tc>
        <w:tc>
          <w:tcPr>
            <w:tcW w:w="688" w:type="dxa"/>
            <w:tcMar>
              <w:top w:w="40" w:type="dxa"/>
              <w:left w:w="80" w:type="dxa"/>
              <w:bottom w:w="40" w:type="dxa"/>
              <w:right w:w="80" w:type="dxa"/>
            </w:tcMar>
            <w:vAlign w:val="center"/>
          </w:tcPr>
          <w:p w14:paraId="5DD84430"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4CBCC07A"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030D666"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C9DC4D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B0DD415" w14:textId="77777777" w:rsidTr="00E776C5">
        <w:tc>
          <w:tcPr>
            <w:tcW w:w="1271" w:type="dxa"/>
            <w:tcMar>
              <w:top w:w="40" w:type="dxa"/>
              <w:left w:w="80" w:type="dxa"/>
              <w:bottom w:w="40" w:type="dxa"/>
              <w:right w:w="80" w:type="dxa"/>
            </w:tcMar>
            <w:vAlign w:val="center"/>
          </w:tcPr>
          <w:p w14:paraId="55CF8CF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3.1.1</w:t>
            </w:r>
          </w:p>
        </w:tc>
        <w:tc>
          <w:tcPr>
            <w:tcW w:w="5103" w:type="dxa"/>
            <w:tcMar>
              <w:top w:w="40" w:type="dxa"/>
              <w:left w:w="80" w:type="dxa"/>
              <w:bottom w:w="40" w:type="dxa"/>
              <w:right w:w="80" w:type="dxa"/>
            </w:tcMar>
            <w:vAlign w:val="center"/>
          </w:tcPr>
          <w:p w14:paraId="165F437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1.1.2 – Installatio</w:t>
            </w:r>
            <w:r w:rsidR="00B8178E">
              <w:rPr>
                <w:rFonts w:ascii="Times New Roman" w:hAnsi="Times New Roman" w:cs="Times New Roman"/>
                <w:b/>
                <w:bCs/>
                <w:sz w:val="22"/>
                <w:szCs w:val="22"/>
              </w:rPr>
              <w:t xml:space="preserve">n de chantier propre à la zone </w:t>
            </w:r>
            <w:r w:rsidRPr="00211073">
              <w:rPr>
                <w:rFonts w:ascii="Times New Roman" w:hAnsi="Times New Roman" w:cs="Times New Roman"/>
                <w:b/>
                <w:bCs/>
                <w:sz w:val="22"/>
                <w:szCs w:val="22"/>
              </w:rPr>
              <w:t>87</w:t>
            </w:r>
          </w:p>
          <w:p w14:paraId="5FACB38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Clôture grillagée rigide H = 2,00 m avec lestage, portail de chantier verrouillable, signalisation réglementaire, zone de stockage matériaux et engins, maintien permanent des accès secours, nettoyage régulier, benne à déchets. Démontage complet et remise en état des abords en fin d’opération.</w:t>
            </w:r>
          </w:p>
        </w:tc>
        <w:tc>
          <w:tcPr>
            <w:tcW w:w="688" w:type="dxa"/>
            <w:tcMar>
              <w:top w:w="40" w:type="dxa"/>
              <w:left w:w="80" w:type="dxa"/>
              <w:bottom w:w="40" w:type="dxa"/>
              <w:right w:w="80" w:type="dxa"/>
            </w:tcMar>
            <w:vAlign w:val="center"/>
          </w:tcPr>
          <w:p w14:paraId="7F7026D1"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0C8E2BE5"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536AF5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DF2149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87BA8AB" w14:textId="77777777" w:rsidTr="00E776C5">
        <w:tc>
          <w:tcPr>
            <w:tcW w:w="1271" w:type="dxa"/>
            <w:tcMar>
              <w:top w:w="40" w:type="dxa"/>
              <w:left w:w="80" w:type="dxa"/>
              <w:bottom w:w="40" w:type="dxa"/>
              <w:right w:w="80" w:type="dxa"/>
            </w:tcMar>
            <w:vAlign w:val="center"/>
          </w:tcPr>
          <w:p w14:paraId="4C8DE59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3.1.1 / 3.1.4.10.2</w:t>
            </w:r>
          </w:p>
        </w:tc>
        <w:tc>
          <w:tcPr>
            <w:tcW w:w="5103" w:type="dxa"/>
            <w:tcMar>
              <w:top w:w="40" w:type="dxa"/>
              <w:left w:w="80" w:type="dxa"/>
              <w:bottom w:w="40" w:type="dxa"/>
              <w:right w:w="80" w:type="dxa"/>
            </w:tcMar>
            <w:vAlign w:val="center"/>
          </w:tcPr>
          <w:p w14:paraId="7AACF7D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1.1.3 – Installation d</w:t>
            </w:r>
            <w:r w:rsidR="00B8178E">
              <w:rPr>
                <w:rFonts w:ascii="Times New Roman" w:hAnsi="Times New Roman" w:cs="Times New Roman"/>
                <w:b/>
                <w:bCs/>
                <w:sz w:val="22"/>
                <w:szCs w:val="22"/>
              </w:rPr>
              <w:t>e chantier propre à la zone H (72-73-</w:t>
            </w:r>
            <w:r w:rsidRPr="00211073">
              <w:rPr>
                <w:rFonts w:ascii="Times New Roman" w:hAnsi="Times New Roman" w:cs="Times New Roman"/>
                <w:b/>
                <w:bCs/>
                <w:sz w:val="22"/>
                <w:szCs w:val="22"/>
              </w:rPr>
              <w:t>74)</w:t>
            </w:r>
          </w:p>
          <w:p w14:paraId="58ADD3B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Idem article 1.1.2 pour l’emprise du bâtiment H et de la future sous-station : clôture rigide H = 2,00 m lestée, portail verrouillable, signalisation, zone de stockage, maintien des accès secours, nettoyage, benne. Démontage et remise en état en fin d’opération.</w:t>
            </w:r>
          </w:p>
        </w:tc>
        <w:tc>
          <w:tcPr>
            <w:tcW w:w="688" w:type="dxa"/>
            <w:tcMar>
              <w:top w:w="40" w:type="dxa"/>
              <w:left w:w="80" w:type="dxa"/>
              <w:bottom w:w="40" w:type="dxa"/>
              <w:right w:w="80" w:type="dxa"/>
            </w:tcMar>
            <w:vAlign w:val="center"/>
          </w:tcPr>
          <w:p w14:paraId="1FA00C31"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5A007F2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01BD735"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71C01B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C43150A" w14:textId="77777777" w:rsidTr="002E467D">
        <w:tc>
          <w:tcPr>
            <w:tcW w:w="10592" w:type="dxa"/>
            <w:gridSpan w:val="6"/>
            <w:shd w:val="clear" w:color="auto" w:fill="BFBFBF"/>
            <w:tcMar>
              <w:top w:w="40" w:type="dxa"/>
              <w:left w:w="80" w:type="dxa"/>
              <w:bottom w:w="40" w:type="dxa"/>
              <w:right w:w="80" w:type="dxa"/>
            </w:tcMar>
            <w:vAlign w:val="center"/>
          </w:tcPr>
          <w:p w14:paraId="3B028F5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1.2 – Implantation de l’extension et des réseaux (CCTP § 3.1.2)</w:t>
            </w:r>
          </w:p>
        </w:tc>
      </w:tr>
      <w:tr w:rsidR="008A504A" w:rsidRPr="00211073" w14:paraId="09271ECD" w14:textId="77777777" w:rsidTr="00E776C5">
        <w:tc>
          <w:tcPr>
            <w:tcW w:w="1271" w:type="dxa"/>
            <w:tcMar>
              <w:top w:w="40" w:type="dxa"/>
              <w:left w:w="80" w:type="dxa"/>
              <w:bottom w:w="40" w:type="dxa"/>
              <w:right w:w="80" w:type="dxa"/>
            </w:tcMar>
            <w:vAlign w:val="center"/>
          </w:tcPr>
          <w:p w14:paraId="648AFF3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3.1.2</w:t>
            </w:r>
          </w:p>
        </w:tc>
        <w:tc>
          <w:tcPr>
            <w:tcW w:w="5103" w:type="dxa"/>
            <w:tcMar>
              <w:top w:w="40" w:type="dxa"/>
              <w:left w:w="80" w:type="dxa"/>
              <w:bottom w:w="40" w:type="dxa"/>
              <w:right w:w="80" w:type="dxa"/>
            </w:tcMar>
            <w:vAlign w:val="center"/>
          </w:tcPr>
          <w:p w14:paraId="436CDDA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1.2.1 – Protection des ouvrages conservés</w:t>
            </w:r>
          </w:p>
          <w:p w14:paraId="427F59B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Protection des réseaux enterrés AEP arrivant en chaufferie, des espaces verts et aménagements conservés, pendant toute la durée des travaux.</w:t>
            </w:r>
          </w:p>
        </w:tc>
        <w:tc>
          <w:tcPr>
            <w:tcW w:w="688" w:type="dxa"/>
            <w:tcMar>
              <w:top w:w="40" w:type="dxa"/>
              <w:left w:w="80" w:type="dxa"/>
              <w:bottom w:w="40" w:type="dxa"/>
              <w:right w:w="80" w:type="dxa"/>
            </w:tcMar>
            <w:vAlign w:val="center"/>
          </w:tcPr>
          <w:p w14:paraId="2AA23885"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C5F1B23"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7A0D8D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0AC9D9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46DE8E1" w14:textId="77777777" w:rsidTr="00E776C5">
        <w:tc>
          <w:tcPr>
            <w:tcW w:w="1271" w:type="dxa"/>
            <w:tcMar>
              <w:top w:w="40" w:type="dxa"/>
              <w:left w:w="80" w:type="dxa"/>
              <w:bottom w:w="40" w:type="dxa"/>
              <w:right w:w="80" w:type="dxa"/>
            </w:tcMar>
            <w:vAlign w:val="center"/>
          </w:tcPr>
          <w:p w14:paraId="3CD549A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3.1.2</w:t>
            </w:r>
          </w:p>
        </w:tc>
        <w:tc>
          <w:tcPr>
            <w:tcW w:w="5103" w:type="dxa"/>
            <w:tcMar>
              <w:top w:w="40" w:type="dxa"/>
              <w:left w:w="80" w:type="dxa"/>
              <w:bottom w:w="40" w:type="dxa"/>
              <w:right w:w="80" w:type="dxa"/>
            </w:tcMar>
            <w:vAlign w:val="center"/>
          </w:tcPr>
          <w:p w14:paraId="5D76974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1.2.2 – Piquetage général, complet et spécial des ouvrages</w:t>
            </w:r>
          </w:p>
          <w:p w14:paraId="299761C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Piquetage contradictoire en période de préparation de tous les réseaux (réseaux humides, réseaux secs, réseau de chaleur, regards, chambres, puits d’infiltration, CPC extérieur), précision ± 1 cm ; conservation et report éventuel des repères ; piquetages complémentaires inclus.</w:t>
            </w:r>
          </w:p>
        </w:tc>
        <w:tc>
          <w:tcPr>
            <w:tcW w:w="688" w:type="dxa"/>
            <w:tcMar>
              <w:top w:w="40" w:type="dxa"/>
              <w:left w:w="80" w:type="dxa"/>
              <w:bottom w:w="40" w:type="dxa"/>
              <w:right w:w="80" w:type="dxa"/>
            </w:tcMar>
            <w:vAlign w:val="center"/>
          </w:tcPr>
          <w:p w14:paraId="2F8FE6D7"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3E97992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8DA445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87D27D5"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1C8FF53" w14:textId="77777777" w:rsidTr="00E776C5">
        <w:tc>
          <w:tcPr>
            <w:tcW w:w="1271" w:type="dxa"/>
            <w:tcMar>
              <w:top w:w="40" w:type="dxa"/>
              <w:left w:w="80" w:type="dxa"/>
              <w:bottom w:w="40" w:type="dxa"/>
              <w:right w:w="80" w:type="dxa"/>
            </w:tcMar>
            <w:vAlign w:val="center"/>
          </w:tcPr>
          <w:p w14:paraId="078BB2B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3.1.2</w:t>
            </w:r>
          </w:p>
        </w:tc>
        <w:tc>
          <w:tcPr>
            <w:tcW w:w="5103" w:type="dxa"/>
            <w:tcMar>
              <w:top w:w="40" w:type="dxa"/>
              <w:left w:w="80" w:type="dxa"/>
              <w:bottom w:w="40" w:type="dxa"/>
              <w:right w:w="80" w:type="dxa"/>
            </w:tcMar>
            <w:vAlign w:val="center"/>
          </w:tcPr>
          <w:p w14:paraId="1552F78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1.2.3 – Implantation de l’extension par géomètre agréé</w:t>
            </w:r>
          </w:p>
          <w:p w14:paraId="2AEFF8D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Pré-implantation et implantation de la partie extension (fondations, longrines et structure comprises), piquetage de la plateforme, relevé topographique avant/après travaux, fourniture des plans d’implantation.</w:t>
            </w:r>
          </w:p>
        </w:tc>
        <w:tc>
          <w:tcPr>
            <w:tcW w:w="688" w:type="dxa"/>
            <w:tcMar>
              <w:top w:w="40" w:type="dxa"/>
              <w:left w:w="80" w:type="dxa"/>
              <w:bottom w:w="40" w:type="dxa"/>
              <w:right w:w="80" w:type="dxa"/>
            </w:tcMar>
            <w:vAlign w:val="center"/>
          </w:tcPr>
          <w:p w14:paraId="53298241"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7A76DC04"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CE36E9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C15F79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3A9F739" w14:textId="77777777" w:rsidTr="002E467D">
        <w:tc>
          <w:tcPr>
            <w:tcW w:w="10592" w:type="dxa"/>
            <w:gridSpan w:val="6"/>
            <w:shd w:val="clear" w:color="auto" w:fill="BFBFBF"/>
            <w:tcMar>
              <w:top w:w="40" w:type="dxa"/>
              <w:left w:w="80" w:type="dxa"/>
              <w:bottom w:w="40" w:type="dxa"/>
              <w:right w:w="80" w:type="dxa"/>
            </w:tcMar>
            <w:vAlign w:val="center"/>
          </w:tcPr>
          <w:p w14:paraId="46F8037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 – Terrassements (CCTP § 3.1.3)</w:t>
            </w:r>
          </w:p>
        </w:tc>
      </w:tr>
      <w:tr w:rsidR="008A504A" w:rsidRPr="00211073" w14:paraId="233E611F" w14:textId="77777777" w:rsidTr="00E776C5">
        <w:tc>
          <w:tcPr>
            <w:tcW w:w="1271" w:type="dxa"/>
            <w:tcMar>
              <w:top w:w="40" w:type="dxa"/>
              <w:left w:w="80" w:type="dxa"/>
              <w:bottom w:w="40" w:type="dxa"/>
              <w:right w:w="80" w:type="dxa"/>
            </w:tcMar>
            <w:vAlign w:val="center"/>
          </w:tcPr>
          <w:p w14:paraId="1A7E1D6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3.1.3.1</w:t>
            </w:r>
          </w:p>
        </w:tc>
        <w:tc>
          <w:tcPr>
            <w:tcW w:w="5103" w:type="dxa"/>
            <w:tcMar>
              <w:top w:w="40" w:type="dxa"/>
              <w:left w:w="80" w:type="dxa"/>
              <w:bottom w:w="40" w:type="dxa"/>
              <w:right w:w="80" w:type="dxa"/>
            </w:tcMar>
            <w:vAlign w:val="center"/>
          </w:tcPr>
          <w:p w14:paraId="7339B34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1.3.1 – Décapage et préparation de l’emprise de l’extension</w:t>
            </w:r>
          </w:p>
          <w:p w14:paraId="079FAEF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Décapage de la couche superficielle (graves, remblais hétérogènes, matériaux de voirie ou de surface), chargement, tri éventuel, évacuation des matériaux impropres, nivellement préalable, mise à disposition de la plateforme. Épaisseur adaptée aux matériaux rencontrés et aux prescriptions géotechniques.</w:t>
            </w:r>
          </w:p>
        </w:tc>
        <w:tc>
          <w:tcPr>
            <w:tcW w:w="688" w:type="dxa"/>
            <w:tcMar>
              <w:top w:w="40" w:type="dxa"/>
              <w:left w:w="80" w:type="dxa"/>
              <w:bottom w:w="40" w:type="dxa"/>
              <w:right w:w="80" w:type="dxa"/>
            </w:tcMar>
            <w:vAlign w:val="center"/>
          </w:tcPr>
          <w:p w14:paraId="1408237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1744FE4C"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CDC655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E281870"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8AC6093" w14:textId="77777777" w:rsidTr="00E776C5">
        <w:tc>
          <w:tcPr>
            <w:tcW w:w="1271" w:type="dxa"/>
            <w:tcMar>
              <w:top w:w="40" w:type="dxa"/>
              <w:left w:w="80" w:type="dxa"/>
              <w:bottom w:w="40" w:type="dxa"/>
              <w:right w:w="80" w:type="dxa"/>
            </w:tcMar>
            <w:vAlign w:val="center"/>
          </w:tcPr>
          <w:p w14:paraId="2B20B356"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208CB24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1.3.2 – Décapage de la terre végétale ép. 30 cm</w:t>
            </w:r>
          </w:p>
          <w:p w14:paraId="509F0A1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Décapage sur toute la surface projetée de l’extension, mise en stock en périphérie, réutilisation prioritaire en couche finale des espaces verts.</w:t>
            </w:r>
          </w:p>
        </w:tc>
        <w:tc>
          <w:tcPr>
            <w:tcW w:w="688" w:type="dxa"/>
            <w:tcMar>
              <w:top w:w="40" w:type="dxa"/>
              <w:left w:w="80" w:type="dxa"/>
              <w:bottom w:w="40" w:type="dxa"/>
              <w:right w:w="80" w:type="dxa"/>
            </w:tcMar>
            <w:vAlign w:val="center"/>
          </w:tcPr>
          <w:p w14:paraId="0052906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7A79E7C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1BC9D06"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BE0C32D"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93A2709" w14:textId="77777777" w:rsidTr="00E776C5">
        <w:tc>
          <w:tcPr>
            <w:tcW w:w="1271" w:type="dxa"/>
            <w:tcMar>
              <w:top w:w="40" w:type="dxa"/>
              <w:left w:w="80" w:type="dxa"/>
              <w:bottom w:w="40" w:type="dxa"/>
              <w:right w:w="80" w:type="dxa"/>
            </w:tcMar>
            <w:vAlign w:val="center"/>
          </w:tcPr>
          <w:p w14:paraId="3801CF5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387BA0E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1.3.3 – Terrassement en pleine masse de l’extension</w:t>
            </w:r>
          </w:p>
          <w:p w14:paraId="79D7CFF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Terrassement mécanique jusqu’au bon sol en toutes natures de sols (BRH ou moyen mécanique adapté réputé compris), arrachage de la végétation, extraction, maintien des terres, talutage provisoire ou définitif, épuisement éventuel des eaux, purge des matériaux impropres, suppression des points durs, remplacement des zones compressibles. Niveau 0 fini de l’extension calé exactement au niveau fini du plancher RDC du bâtiment principal.</w:t>
            </w:r>
          </w:p>
        </w:tc>
        <w:tc>
          <w:tcPr>
            <w:tcW w:w="688" w:type="dxa"/>
            <w:tcMar>
              <w:top w:w="40" w:type="dxa"/>
              <w:left w:w="80" w:type="dxa"/>
              <w:bottom w:w="40" w:type="dxa"/>
              <w:right w:w="80" w:type="dxa"/>
            </w:tcMar>
            <w:vAlign w:val="center"/>
          </w:tcPr>
          <w:p w14:paraId="675357EE"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m³</w:t>
            </w:r>
          </w:p>
        </w:tc>
        <w:tc>
          <w:tcPr>
            <w:tcW w:w="992" w:type="dxa"/>
            <w:tcMar>
              <w:top w:w="40" w:type="dxa"/>
              <w:left w:w="80" w:type="dxa"/>
              <w:bottom w:w="40" w:type="dxa"/>
              <w:right w:w="80" w:type="dxa"/>
            </w:tcMar>
            <w:vAlign w:val="center"/>
          </w:tcPr>
          <w:p w14:paraId="03612DB1"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22285D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1746457"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E3CF4A3" w14:textId="77777777" w:rsidTr="00E776C5">
        <w:tc>
          <w:tcPr>
            <w:tcW w:w="1271" w:type="dxa"/>
            <w:tcMar>
              <w:top w:w="40" w:type="dxa"/>
              <w:left w:w="80" w:type="dxa"/>
              <w:bottom w:w="40" w:type="dxa"/>
              <w:right w:w="80" w:type="dxa"/>
            </w:tcMar>
            <w:vAlign w:val="center"/>
          </w:tcPr>
          <w:p w14:paraId="36F85E6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714AA95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1.3.4 – Fouilles en rigoles et en trous</w:t>
            </w:r>
          </w:p>
          <w:p w14:paraId="584EC46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Fouilles pour fondations filantes, semelles isolées, longrines, regards, future dalle de l’escalier extérieur, tranchées techniques et réseaux enterrés dans l’emprise de l’extension, y compris reprise en sous-œuvre des fondations du bâtiment existant (mur Nord : semelle maçonnée à environ 0,65 m/TA – respect de la pente 3h/1v et des redents 3l/1h, blindages et soutènements provisoires si nécessaire).</w:t>
            </w:r>
          </w:p>
        </w:tc>
        <w:tc>
          <w:tcPr>
            <w:tcW w:w="688" w:type="dxa"/>
            <w:tcMar>
              <w:top w:w="40" w:type="dxa"/>
              <w:left w:w="80" w:type="dxa"/>
              <w:bottom w:w="40" w:type="dxa"/>
              <w:right w:w="80" w:type="dxa"/>
            </w:tcMar>
            <w:vAlign w:val="center"/>
          </w:tcPr>
          <w:p w14:paraId="60D2330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m³</w:t>
            </w:r>
          </w:p>
        </w:tc>
        <w:tc>
          <w:tcPr>
            <w:tcW w:w="992" w:type="dxa"/>
            <w:tcMar>
              <w:top w:w="40" w:type="dxa"/>
              <w:left w:w="80" w:type="dxa"/>
              <w:bottom w:w="40" w:type="dxa"/>
              <w:right w:w="80" w:type="dxa"/>
            </w:tcMar>
            <w:vAlign w:val="center"/>
          </w:tcPr>
          <w:p w14:paraId="7AFCA4E7"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94F1A71"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AB649DF"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CB38EEE" w14:textId="77777777" w:rsidTr="00E776C5">
        <w:tc>
          <w:tcPr>
            <w:tcW w:w="1271" w:type="dxa"/>
            <w:tcMar>
              <w:top w:w="40" w:type="dxa"/>
              <w:left w:w="80" w:type="dxa"/>
              <w:bottom w:w="40" w:type="dxa"/>
              <w:right w:w="80" w:type="dxa"/>
            </w:tcMar>
            <w:vAlign w:val="center"/>
          </w:tcPr>
          <w:p w14:paraId="4381D82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674EEA5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1.3.5 – Évacuation des déblais excédentaires</w:t>
            </w:r>
          </w:p>
          <w:p w14:paraId="5981346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Chargement, transport et évacuation en installation agréée des déblais impropres ou excédentaires, droits de décharge et suivi BSD compris ; réutilisation des déblais aptes après accord du maître d’œuvre.</w:t>
            </w:r>
          </w:p>
        </w:tc>
        <w:tc>
          <w:tcPr>
            <w:tcW w:w="688" w:type="dxa"/>
            <w:tcMar>
              <w:top w:w="40" w:type="dxa"/>
              <w:left w:w="80" w:type="dxa"/>
              <w:bottom w:w="40" w:type="dxa"/>
              <w:right w:w="80" w:type="dxa"/>
            </w:tcMar>
            <w:vAlign w:val="center"/>
          </w:tcPr>
          <w:p w14:paraId="4CC4CFC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m³</w:t>
            </w:r>
          </w:p>
        </w:tc>
        <w:tc>
          <w:tcPr>
            <w:tcW w:w="992" w:type="dxa"/>
            <w:tcMar>
              <w:top w:w="40" w:type="dxa"/>
              <w:left w:w="80" w:type="dxa"/>
              <w:bottom w:w="40" w:type="dxa"/>
              <w:right w:w="80" w:type="dxa"/>
            </w:tcMar>
            <w:vAlign w:val="center"/>
          </w:tcPr>
          <w:p w14:paraId="3563D624"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21AFC8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05735B0"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3BCB860" w14:textId="77777777" w:rsidTr="00E776C5">
        <w:tc>
          <w:tcPr>
            <w:tcW w:w="1271" w:type="dxa"/>
            <w:tcMar>
              <w:top w:w="40" w:type="dxa"/>
              <w:left w:w="80" w:type="dxa"/>
              <w:bottom w:w="40" w:type="dxa"/>
              <w:right w:w="80" w:type="dxa"/>
            </w:tcMar>
            <w:vAlign w:val="center"/>
          </w:tcPr>
          <w:p w14:paraId="6F7F332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7DDB22B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1.3.6 – Fond de forme en GNT 0/80</w:t>
            </w:r>
          </w:p>
          <w:p w14:paraId="5ACF602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Fourniture et mise en œuvre d’un fond de forme en grave non traitée 0/80 roulée, compactée par passes successives à la plaque vibrante 600 kg.</w:t>
            </w:r>
          </w:p>
        </w:tc>
        <w:tc>
          <w:tcPr>
            <w:tcW w:w="688" w:type="dxa"/>
            <w:tcMar>
              <w:top w:w="40" w:type="dxa"/>
              <w:left w:w="80" w:type="dxa"/>
              <w:bottom w:w="40" w:type="dxa"/>
              <w:right w:w="80" w:type="dxa"/>
            </w:tcMar>
            <w:vAlign w:val="center"/>
          </w:tcPr>
          <w:p w14:paraId="60A9AA3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67F4C4B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42BA986"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A135BFD"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EA15657" w14:textId="77777777" w:rsidTr="00E776C5">
        <w:tc>
          <w:tcPr>
            <w:tcW w:w="1271" w:type="dxa"/>
            <w:tcMar>
              <w:top w:w="40" w:type="dxa"/>
              <w:left w:w="80" w:type="dxa"/>
              <w:bottom w:w="40" w:type="dxa"/>
              <w:right w:w="80" w:type="dxa"/>
            </w:tcMar>
            <w:vAlign w:val="center"/>
          </w:tcPr>
          <w:p w14:paraId="19FA0EF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291C2C1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1.3.7 – Drain périphérique Ø100</w:t>
            </w:r>
          </w:p>
          <w:p w14:paraId="38D511F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Drain posé sur lit de gravier 20/40, enveloppé dans un géotextile type Bidim S15, raccordé au réseau d’eaux pluviales.</w:t>
            </w:r>
          </w:p>
        </w:tc>
        <w:tc>
          <w:tcPr>
            <w:tcW w:w="688" w:type="dxa"/>
            <w:tcMar>
              <w:top w:w="40" w:type="dxa"/>
              <w:left w:w="80" w:type="dxa"/>
              <w:bottom w:w="40" w:type="dxa"/>
              <w:right w:w="80" w:type="dxa"/>
            </w:tcMar>
            <w:vAlign w:val="center"/>
          </w:tcPr>
          <w:p w14:paraId="611F7B8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0FD411B1"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5B766A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7E8F23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F3C525E" w14:textId="77777777" w:rsidTr="00E776C5">
        <w:tc>
          <w:tcPr>
            <w:tcW w:w="1271" w:type="dxa"/>
            <w:tcMar>
              <w:top w:w="40" w:type="dxa"/>
              <w:left w:w="80" w:type="dxa"/>
              <w:bottom w:w="40" w:type="dxa"/>
              <w:right w:w="80" w:type="dxa"/>
            </w:tcMar>
            <w:vAlign w:val="center"/>
          </w:tcPr>
          <w:p w14:paraId="4E7A152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3C8A794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1.3.8 – Couche de forme GNT 0/31,5 ép. 40 cm</w:t>
            </w:r>
          </w:p>
          <w:p w14:paraId="275C235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Fourniture, transport, mise en œuvre, compactage et réglage conformes aux prescriptions géotechniques (purge TV sur 50 cm minimum ; objectifs : EV2 fond de forme ≥ 20 MPa, plateforme EV2 &gt; 50 MPa, Kw &gt; 50 MPa/m, EV2/EV1 &lt; 2,2) ; essais de portance à la plaque (mode opératoire LCPC) et réception de plateforme, rapports fournis au maître d’œuvre.</w:t>
            </w:r>
          </w:p>
        </w:tc>
        <w:tc>
          <w:tcPr>
            <w:tcW w:w="688" w:type="dxa"/>
            <w:tcMar>
              <w:top w:w="40" w:type="dxa"/>
              <w:left w:w="80" w:type="dxa"/>
              <w:bottom w:w="40" w:type="dxa"/>
              <w:right w:w="80" w:type="dxa"/>
            </w:tcMar>
            <w:vAlign w:val="center"/>
          </w:tcPr>
          <w:p w14:paraId="14C3919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2DB48241"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0F5C6E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FDBD30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37AFADB" w14:textId="77777777" w:rsidTr="00E776C5">
        <w:tc>
          <w:tcPr>
            <w:tcW w:w="1271" w:type="dxa"/>
            <w:tcMar>
              <w:top w:w="40" w:type="dxa"/>
              <w:left w:w="80" w:type="dxa"/>
              <w:bottom w:w="40" w:type="dxa"/>
              <w:right w:w="80" w:type="dxa"/>
            </w:tcMar>
            <w:vAlign w:val="center"/>
          </w:tcPr>
          <w:p w14:paraId="2830D1D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73EE077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1.3.9 – Blindage des fouilles</w:t>
            </w:r>
          </w:p>
          <w:p w14:paraId="0DA0E6C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Mise en œuvre de blindages conformes à la réglementation chaque fois que les conditions de stabilité des fouilles l’exigent (présence d’eau à faible profondeur, niveaux caillouteux peu cohésifs) ; matériel provisionné sur site.</w:t>
            </w:r>
          </w:p>
        </w:tc>
        <w:tc>
          <w:tcPr>
            <w:tcW w:w="688" w:type="dxa"/>
            <w:tcMar>
              <w:top w:w="40" w:type="dxa"/>
              <w:left w:w="80" w:type="dxa"/>
              <w:bottom w:w="40" w:type="dxa"/>
              <w:right w:w="80" w:type="dxa"/>
            </w:tcMar>
            <w:vAlign w:val="center"/>
          </w:tcPr>
          <w:p w14:paraId="70C12618"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3CDF5876"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F51768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33C8303"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0B9EB71" w14:textId="77777777" w:rsidTr="00E776C5">
        <w:tc>
          <w:tcPr>
            <w:tcW w:w="1271" w:type="dxa"/>
            <w:tcMar>
              <w:top w:w="40" w:type="dxa"/>
              <w:left w:w="80" w:type="dxa"/>
              <w:bottom w:w="40" w:type="dxa"/>
              <w:right w:w="80" w:type="dxa"/>
            </w:tcMar>
            <w:vAlign w:val="center"/>
          </w:tcPr>
          <w:p w14:paraId="2FF68B8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3.1.3.2</w:t>
            </w:r>
          </w:p>
        </w:tc>
        <w:tc>
          <w:tcPr>
            <w:tcW w:w="5103" w:type="dxa"/>
            <w:tcMar>
              <w:top w:w="40" w:type="dxa"/>
              <w:left w:w="80" w:type="dxa"/>
              <w:bottom w:w="40" w:type="dxa"/>
              <w:right w:w="80" w:type="dxa"/>
            </w:tcMar>
            <w:vAlign w:val="center"/>
          </w:tcPr>
          <w:p w14:paraId="2054CB4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1.3.10 – Tout-venant compacté en périphérie de l’extension</w:t>
            </w:r>
          </w:p>
          <w:p w14:paraId="70077D4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Mise en œuvre en fin de travaux, sur une largeur de 2,00 m autour de la nouvelle extension, de tout-venant compacté ; remblaiement des excavations, nivellement, reprofilage à la configuration initiale (sable, herbe, gravier, bitume, bordures) et évacuation des excédents.</w:t>
            </w:r>
          </w:p>
        </w:tc>
        <w:tc>
          <w:tcPr>
            <w:tcW w:w="688" w:type="dxa"/>
            <w:tcMar>
              <w:top w:w="40" w:type="dxa"/>
              <w:left w:w="80" w:type="dxa"/>
              <w:bottom w:w="40" w:type="dxa"/>
              <w:right w:w="80" w:type="dxa"/>
            </w:tcMar>
            <w:vAlign w:val="center"/>
          </w:tcPr>
          <w:p w14:paraId="6A5E94E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4983B9C9"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D7B399F"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B5E6E4A"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B7C583D" w14:textId="77777777" w:rsidTr="002E467D">
        <w:tc>
          <w:tcPr>
            <w:tcW w:w="10592" w:type="dxa"/>
            <w:gridSpan w:val="6"/>
            <w:shd w:val="clear" w:color="auto" w:fill="BFBFBF"/>
            <w:tcMar>
              <w:top w:w="40" w:type="dxa"/>
              <w:left w:w="80" w:type="dxa"/>
              <w:bottom w:w="40" w:type="dxa"/>
              <w:right w:w="80" w:type="dxa"/>
            </w:tcMar>
            <w:vAlign w:val="center"/>
          </w:tcPr>
          <w:p w14:paraId="078A30B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 – VRD Bâtiment 087 (CCTP § 3.1.4)</w:t>
            </w:r>
          </w:p>
        </w:tc>
      </w:tr>
      <w:tr w:rsidR="008A504A" w:rsidRPr="00211073" w14:paraId="49FB5E20" w14:textId="77777777" w:rsidTr="00E776C5">
        <w:tc>
          <w:tcPr>
            <w:tcW w:w="1271" w:type="dxa"/>
            <w:tcMar>
              <w:top w:w="40" w:type="dxa"/>
              <w:left w:w="80" w:type="dxa"/>
              <w:bottom w:w="40" w:type="dxa"/>
              <w:right w:w="80" w:type="dxa"/>
            </w:tcMar>
            <w:vAlign w:val="center"/>
          </w:tcPr>
          <w:p w14:paraId="4C5201F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3.1.4.3 / 3.1.4.4</w:t>
            </w:r>
          </w:p>
        </w:tc>
        <w:tc>
          <w:tcPr>
            <w:tcW w:w="5103" w:type="dxa"/>
            <w:tcMar>
              <w:top w:w="40" w:type="dxa"/>
              <w:left w:w="80" w:type="dxa"/>
              <w:bottom w:w="40" w:type="dxa"/>
              <w:right w:w="80" w:type="dxa"/>
            </w:tcMar>
            <w:vAlign w:val="center"/>
          </w:tcPr>
          <w:p w14:paraId="01231AF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 – Repérage des réseaux existants – DICT et investigations complémentaires</w:t>
            </w:r>
          </w:p>
          <w:p w14:paraId="3ACEE16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Consultation des plans, reconnaissance visuelle, fouilles de reconnaissance, détection des réseaux enterrés (électromagnétique / GPR si nécessaire), identification des réseaux maintenus en service, marquage-piquetage avant terrassement, DICT, sondages manuels et plan de synthèse. Aucune coupure non autorisée (maintien en service des bâtiments occupés, § 3.1.4.5). Protection impérative des réseaux de chauffage urbain et du réseau gaz alimentant le bâtiment 087.</w:t>
            </w:r>
          </w:p>
        </w:tc>
        <w:tc>
          <w:tcPr>
            <w:tcW w:w="688" w:type="dxa"/>
            <w:tcMar>
              <w:top w:w="40" w:type="dxa"/>
              <w:left w:w="80" w:type="dxa"/>
              <w:bottom w:w="40" w:type="dxa"/>
              <w:right w:w="80" w:type="dxa"/>
            </w:tcMar>
            <w:vAlign w:val="center"/>
          </w:tcPr>
          <w:p w14:paraId="2DA92A0C"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4DBECB33"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B86504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AC1703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B512DCF" w14:textId="77777777" w:rsidTr="00E776C5">
        <w:tc>
          <w:tcPr>
            <w:tcW w:w="1271" w:type="dxa"/>
            <w:tcMar>
              <w:top w:w="40" w:type="dxa"/>
              <w:left w:w="80" w:type="dxa"/>
              <w:bottom w:w="40" w:type="dxa"/>
              <w:right w:w="80" w:type="dxa"/>
            </w:tcMar>
            <w:vAlign w:val="center"/>
          </w:tcPr>
          <w:p w14:paraId="4B56D18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3.1.4.2</w:t>
            </w:r>
          </w:p>
        </w:tc>
        <w:tc>
          <w:tcPr>
            <w:tcW w:w="5103" w:type="dxa"/>
            <w:tcMar>
              <w:top w:w="40" w:type="dxa"/>
              <w:left w:w="80" w:type="dxa"/>
              <w:bottom w:w="40" w:type="dxa"/>
              <w:right w:w="80" w:type="dxa"/>
            </w:tcMar>
            <w:vAlign w:val="center"/>
          </w:tcPr>
          <w:p w14:paraId="5CB13B6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 – Tranchées pour réseaux divers – bâtiment 087 (prix forfaitaire)</w:t>
            </w:r>
          </w:p>
          <w:p w14:paraId="1641A97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Exécution des tranchées de toutes natures et remblais nécessaires aux réseaux (chauffage, EP autour des bâtiments, EU, fourreaux secs et humides), y compris lit de pose en sable, enrobage latéral, grillages avertisseurs réglementaires, recouvrement supérieur minimum 20 cm, remblaiement en matériaux sélectionnés compactés par couches, réfections provisoires et maintien des circulations (§ 3.1.4.1 et 3.1.4.2).</w:t>
            </w:r>
          </w:p>
        </w:tc>
        <w:tc>
          <w:tcPr>
            <w:tcW w:w="688" w:type="dxa"/>
            <w:tcMar>
              <w:top w:w="40" w:type="dxa"/>
              <w:left w:w="80" w:type="dxa"/>
              <w:bottom w:w="40" w:type="dxa"/>
              <w:right w:w="80" w:type="dxa"/>
            </w:tcMar>
            <w:vAlign w:val="center"/>
          </w:tcPr>
          <w:p w14:paraId="700E8D59"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FT</w:t>
            </w:r>
          </w:p>
        </w:tc>
        <w:tc>
          <w:tcPr>
            <w:tcW w:w="992" w:type="dxa"/>
            <w:tcMar>
              <w:top w:w="40" w:type="dxa"/>
              <w:left w:w="80" w:type="dxa"/>
              <w:bottom w:w="40" w:type="dxa"/>
              <w:right w:w="80" w:type="dxa"/>
            </w:tcMar>
            <w:vAlign w:val="center"/>
          </w:tcPr>
          <w:p w14:paraId="795170BC"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45EE198"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7016375"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137B686" w14:textId="77777777" w:rsidTr="00E776C5">
        <w:tc>
          <w:tcPr>
            <w:tcW w:w="1271" w:type="dxa"/>
            <w:tcMar>
              <w:top w:w="40" w:type="dxa"/>
              <w:left w:w="80" w:type="dxa"/>
              <w:bottom w:w="40" w:type="dxa"/>
              <w:right w:w="80" w:type="dxa"/>
            </w:tcMar>
            <w:vAlign w:val="center"/>
          </w:tcPr>
          <w:p w14:paraId="545741C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3.1.4.2</w:t>
            </w:r>
          </w:p>
        </w:tc>
        <w:tc>
          <w:tcPr>
            <w:tcW w:w="5103" w:type="dxa"/>
            <w:tcMar>
              <w:top w:w="40" w:type="dxa"/>
              <w:left w:w="80" w:type="dxa"/>
              <w:bottom w:w="40" w:type="dxa"/>
              <w:right w:w="80" w:type="dxa"/>
            </w:tcMar>
            <w:vAlign w:val="center"/>
          </w:tcPr>
          <w:p w14:paraId="3283587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1.4.3 – Dépose des réseaux EU et EP existants au droit de l’extension</w:t>
            </w:r>
          </w:p>
          <w:p w14:paraId="73E6B48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Suppression et traitement des canalisations, caniveaux et regards des réseaux EU et EP existants depuis les façades du bâtiment 087 et de l’extension actuelle jusqu’aux réseaux existants à proximité, y compris dépose du réseau EU au pied de l’extension existante jusqu’au regard existant (voir plan de masse), avant construction de la nouvelle extension.</w:t>
            </w:r>
          </w:p>
        </w:tc>
        <w:tc>
          <w:tcPr>
            <w:tcW w:w="688" w:type="dxa"/>
            <w:tcMar>
              <w:top w:w="40" w:type="dxa"/>
              <w:left w:w="80" w:type="dxa"/>
              <w:bottom w:w="40" w:type="dxa"/>
              <w:right w:w="80" w:type="dxa"/>
            </w:tcMar>
            <w:vAlign w:val="center"/>
          </w:tcPr>
          <w:p w14:paraId="74A7DE27"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670272F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401E7E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82AE8F4"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60544DD" w14:textId="77777777" w:rsidTr="00E776C5">
        <w:tc>
          <w:tcPr>
            <w:tcW w:w="1271" w:type="dxa"/>
            <w:tcMar>
              <w:top w:w="40" w:type="dxa"/>
              <w:left w:w="80" w:type="dxa"/>
              <w:bottom w:w="40" w:type="dxa"/>
              <w:right w:w="80" w:type="dxa"/>
            </w:tcMar>
            <w:vAlign w:val="center"/>
          </w:tcPr>
          <w:p w14:paraId="3162236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3.1.4.6.1</w:t>
            </w:r>
          </w:p>
        </w:tc>
        <w:tc>
          <w:tcPr>
            <w:tcW w:w="5103" w:type="dxa"/>
            <w:tcMar>
              <w:top w:w="40" w:type="dxa"/>
              <w:left w:w="80" w:type="dxa"/>
              <w:bottom w:w="40" w:type="dxa"/>
              <w:right w:w="80" w:type="dxa"/>
            </w:tcMar>
            <w:vAlign w:val="center"/>
          </w:tcPr>
          <w:p w14:paraId="1CF3D48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1.4.4 – Adduction d’eau potable – raccordement et canalisation PEHD</w:t>
            </w:r>
          </w:p>
          <w:p w14:paraId="512DBAF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Reprise sur alimentation existante (repérage précis, mise hors service temporaire, coupe propre, raccords électrosoudables ou mécaniques adaptés au PEHD), fourniture et pose de canalisations PEHD PN 16 Ø40 mm y compris raccords, manchons, coudes, tés, réductions, vannes de sectionnement, colliers de prise en charge, traversées de parois, lit de sable 10 cm sous et 10 cm en enrobage, grillage avertisseur bleu à 20 cm, essais de pression, désinfection et mise en service. Déplacement de l’arrivée d’eau générale dans la sous-station.</w:t>
            </w:r>
          </w:p>
        </w:tc>
        <w:tc>
          <w:tcPr>
            <w:tcW w:w="688" w:type="dxa"/>
            <w:tcMar>
              <w:top w:w="40" w:type="dxa"/>
              <w:left w:w="80" w:type="dxa"/>
              <w:bottom w:w="40" w:type="dxa"/>
              <w:right w:w="80" w:type="dxa"/>
            </w:tcMar>
            <w:vAlign w:val="center"/>
          </w:tcPr>
          <w:p w14:paraId="6269F00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152AA1D4"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F8EEE9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964405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FA8AFF4" w14:textId="77777777" w:rsidTr="00E776C5">
        <w:tc>
          <w:tcPr>
            <w:tcW w:w="1271" w:type="dxa"/>
            <w:tcMar>
              <w:top w:w="40" w:type="dxa"/>
              <w:left w:w="80" w:type="dxa"/>
              <w:bottom w:w="40" w:type="dxa"/>
              <w:right w:w="80" w:type="dxa"/>
            </w:tcMar>
            <w:vAlign w:val="center"/>
          </w:tcPr>
          <w:p w14:paraId="332FA46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3.1.4.6.1</w:t>
            </w:r>
          </w:p>
        </w:tc>
        <w:tc>
          <w:tcPr>
            <w:tcW w:w="5103" w:type="dxa"/>
            <w:tcMar>
              <w:top w:w="40" w:type="dxa"/>
              <w:left w:w="80" w:type="dxa"/>
              <w:bottom w:w="40" w:type="dxa"/>
              <w:right w:w="80" w:type="dxa"/>
            </w:tcMar>
            <w:vAlign w:val="center"/>
          </w:tcPr>
          <w:p w14:paraId="45C3069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1.4.5 – Robinet de coupure extérieur + vanne d’arrêt intérieure – bât. 087</w:t>
            </w:r>
          </w:p>
          <w:p w14:paraId="65E1B74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Robinet de coupure extérieur accessible, protégé, conforme aux exigences du service des eaux ; vanne d’arrêt intérieure en amont immédiat de l’installation, accessible pour maintenance ; dispositifs de type agréé, résistants à la corrosion, adaptés à l’eau potable.</w:t>
            </w:r>
          </w:p>
        </w:tc>
        <w:tc>
          <w:tcPr>
            <w:tcW w:w="688" w:type="dxa"/>
            <w:tcMar>
              <w:top w:w="40" w:type="dxa"/>
              <w:left w:w="80" w:type="dxa"/>
              <w:bottom w:w="40" w:type="dxa"/>
              <w:right w:w="80" w:type="dxa"/>
            </w:tcMar>
            <w:vAlign w:val="center"/>
          </w:tcPr>
          <w:p w14:paraId="1F405358"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01CA0DD2"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F80E34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E9B8777"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7B234EE" w14:textId="77777777" w:rsidTr="00E776C5">
        <w:tc>
          <w:tcPr>
            <w:tcW w:w="1271" w:type="dxa"/>
            <w:tcMar>
              <w:top w:w="40" w:type="dxa"/>
              <w:left w:w="80" w:type="dxa"/>
              <w:bottom w:w="40" w:type="dxa"/>
              <w:right w:w="80" w:type="dxa"/>
            </w:tcMar>
            <w:vAlign w:val="center"/>
          </w:tcPr>
          <w:p w14:paraId="457307A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3.1.4.6.2</w:t>
            </w:r>
          </w:p>
        </w:tc>
        <w:tc>
          <w:tcPr>
            <w:tcW w:w="5103" w:type="dxa"/>
            <w:tcMar>
              <w:top w:w="40" w:type="dxa"/>
              <w:left w:w="80" w:type="dxa"/>
              <w:bottom w:w="40" w:type="dxa"/>
              <w:right w:w="80" w:type="dxa"/>
            </w:tcMar>
            <w:vAlign w:val="center"/>
          </w:tcPr>
          <w:p w14:paraId="68FA17C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1.4.6 – Réseau EU – canalisation PVC CR8 DN 100</w:t>
            </w:r>
          </w:p>
          <w:p w14:paraId="5D6EA29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Fourniture et pose en tranchée sur lit de sable, pièces de raccordement, filet avertisseur, remblaiement compacté, évacuation des déblais excédentaires, nettoyage avant réception.</w:t>
            </w:r>
          </w:p>
        </w:tc>
        <w:tc>
          <w:tcPr>
            <w:tcW w:w="688" w:type="dxa"/>
            <w:tcMar>
              <w:top w:w="40" w:type="dxa"/>
              <w:left w:w="80" w:type="dxa"/>
              <w:bottom w:w="40" w:type="dxa"/>
              <w:right w:w="80" w:type="dxa"/>
            </w:tcMar>
            <w:vAlign w:val="center"/>
          </w:tcPr>
          <w:p w14:paraId="785FE29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1184274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5E47F3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9F1AE2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CAA93F7" w14:textId="77777777" w:rsidTr="00E776C5">
        <w:tc>
          <w:tcPr>
            <w:tcW w:w="1271" w:type="dxa"/>
            <w:tcMar>
              <w:top w:w="40" w:type="dxa"/>
              <w:left w:w="80" w:type="dxa"/>
              <w:bottom w:w="40" w:type="dxa"/>
              <w:right w:w="80" w:type="dxa"/>
            </w:tcMar>
            <w:vAlign w:val="center"/>
          </w:tcPr>
          <w:p w14:paraId="1AA55B9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3.1.4.6.2</w:t>
            </w:r>
          </w:p>
        </w:tc>
        <w:tc>
          <w:tcPr>
            <w:tcW w:w="5103" w:type="dxa"/>
            <w:tcMar>
              <w:top w:w="40" w:type="dxa"/>
              <w:left w:w="80" w:type="dxa"/>
              <w:bottom w:w="40" w:type="dxa"/>
              <w:right w:w="80" w:type="dxa"/>
            </w:tcMar>
            <w:vAlign w:val="center"/>
          </w:tcPr>
          <w:p w14:paraId="54B679A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1.4.7 – Réseau EU – canalisation PVC CR8 DN 125</w:t>
            </w:r>
          </w:p>
          <w:p w14:paraId="7764F8E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Idem article 1.4.6 en DN 125, évacuation des eaux usées des blocs sanitaires créés dans la future extension, conforme au fascicule 70 du CCTG ; réutilisation des réseaux existants dans la mesure du possible après vérifications ; dimensionnement à la charge du titulaire, soumis au visa du maître d’œuvre.</w:t>
            </w:r>
          </w:p>
        </w:tc>
        <w:tc>
          <w:tcPr>
            <w:tcW w:w="688" w:type="dxa"/>
            <w:tcMar>
              <w:top w:w="40" w:type="dxa"/>
              <w:left w:w="80" w:type="dxa"/>
              <w:bottom w:w="40" w:type="dxa"/>
              <w:right w:w="80" w:type="dxa"/>
            </w:tcMar>
            <w:vAlign w:val="center"/>
          </w:tcPr>
          <w:p w14:paraId="77AE2AA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6FA66BF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E896202"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781E13C"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F93AF31" w14:textId="77777777" w:rsidTr="00E776C5">
        <w:tc>
          <w:tcPr>
            <w:tcW w:w="1271" w:type="dxa"/>
            <w:tcMar>
              <w:top w:w="40" w:type="dxa"/>
              <w:left w:w="80" w:type="dxa"/>
              <w:bottom w:w="40" w:type="dxa"/>
              <w:right w:w="80" w:type="dxa"/>
            </w:tcMar>
            <w:vAlign w:val="center"/>
          </w:tcPr>
          <w:p w14:paraId="26FB240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3.1.4.6.2</w:t>
            </w:r>
          </w:p>
        </w:tc>
        <w:tc>
          <w:tcPr>
            <w:tcW w:w="5103" w:type="dxa"/>
            <w:tcMar>
              <w:top w:w="40" w:type="dxa"/>
              <w:left w:w="80" w:type="dxa"/>
              <w:bottom w:w="40" w:type="dxa"/>
              <w:right w:w="80" w:type="dxa"/>
            </w:tcMar>
            <w:vAlign w:val="center"/>
          </w:tcPr>
          <w:p w14:paraId="0BA2DED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1.4.8 – Regards de visite EU</w:t>
            </w:r>
          </w:p>
          <w:p w14:paraId="024BA8F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Regards béton C25/30 : fond préfabriqué ou coulé en place, cunette façonnée dans le sens de l’écoulement, banquettes, rehausses, parois et radier ép. 0,15 m parfaitement lisses, enduit hydrofuge ciment lissé 2 cm angles arrondis, dalle BA ép. 0,10 m avec feuillure, tampon hydraulique fonte adapté à la classe de trafic, tous accessoires.</w:t>
            </w:r>
          </w:p>
        </w:tc>
        <w:tc>
          <w:tcPr>
            <w:tcW w:w="688" w:type="dxa"/>
            <w:tcMar>
              <w:top w:w="40" w:type="dxa"/>
              <w:left w:w="80" w:type="dxa"/>
              <w:bottom w:w="40" w:type="dxa"/>
              <w:right w:w="80" w:type="dxa"/>
            </w:tcMar>
            <w:vAlign w:val="center"/>
          </w:tcPr>
          <w:p w14:paraId="2B9DAA7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5AA0E9C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A3451C6"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4320FC3"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8D47724" w14:textId="77777777" w:rsidTr="00E776C5">
        <w:tc>
          <w:tcPr>
            <w:tcW w:w="1271" w:type="dxa"/>
            <w:tcMar>
              <w:top w:w="40" w:type="dxa"/>
              <w:left w:w="80" w:type="dxa"/>
              <w:bottom w:w="40" w:type="dxa"/>
              <w:right w:w="80" w:type="dxa"/>
            </w:tcMar>
            <w:vAlign w:val="center"/>
          </w:tcPr>
          <w:p w14:paraId="1FB4AE5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3.1.4.6.2</w:t>
            </w:r>
          </w:p>
        </w:tc>
        <w:tc>
          <w:tcPr>
            <w:tcW w:w="5103" w:type="dxa"/>
            <w:tcMar>
              <w:top w:w="40" w:type="dxa"/>
              <w:left w:w="80" w:type="dxa"/>
              <w:bottom w:w="40" w:type="dxa"/>
              <w:right w:w="80" w:type="dxa"/>
            </w:tcMar>
            <w:vAlign w:val="center"/>
          </w:tcPr>
          <w:p w14:paraId="718FFFC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1.4.9 – Raccordement EU sur réseau existant à l’angle du bâtiment 87</w:t>
            </w:r>
          </w:p>
          <w:p w14:paraId="3C54C23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Branchement des tuyaux PVC dans regards, percement de la paroi, re-blocage soigné, éléments PVC de sections appropriées avec raccords femelles en attente pour les tuyaux du plombier ; raccordement sur une face et non dans un angle, sous angle ≥ 75° ; essais d’étanchéité.</w:t>
            </w:r>
          </w:p>
        </w:tc>
        <w:tc>
          <w:tcPr>
            <w:tcW w:w="688" w:type="dxa"/>
            <w:tcMar>
              <w:top w:w="40" w:type="dxa"/>
              <w:left w:w="80" w:type="dxa"/>
              <w:bottom w:w="40" w:type="dxa"/>
              <w:right w:w="80" w:type="dxa"/>
            </w:tcMar>
            <w:vAlign w:val="center"/>
          </w:tcPr>
          <w:p w14:paraId="1AABD67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4D4F007F"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AD2F89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A981E70"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0CEC889" w14:textId="77777777" w:rsidTr="00E776C5">
        <w:tc>
          <w:tcPr>
            <w:tcW w:w="1271" w:type="dxa"/>
            <w:tcMar>
              <w:top w:w="40" w:type="dxa"/>
              <w:left w:w="80" w:type="dxa"/>
              <w:bottom w:w="40" w:type="dxa"/>
              <w:right w:w="80" w:type="dxa"/>
            </w:tcMar>
            <w:vAlign w:val="center"/>
          </w:tcPr>
          <w:p w14:paraId="09EB92B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3.1.4.6.3</w:t>
            </w:r>
          </w:p>
        </w:tc>
        <w:tc>
          <w:tcPr>
            <w:tcW w:w="5103" w:type="dxa"/>
            <w:tcMar>
              <w:top w:w="40" w:type="dxa"/>
              <w:left w:w="80" w:type="dxa"/>
              <w:bottom w:w="40" w:type="dxa"/>
              <w:right w:w="80" w:type="dxa"/>
            </w:tcMar>
            <w:vAlign w:val="center"/>
          </w:tcPr>
          <w:p w14:paraId="2D68736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1.4.10 – Réseau EP – canalisations PVC CR8</w:t>
            </w:r>
          </w:p>
          <w:p w14:paraId="1B1F6EF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Collecte et évacuation des eaux pluviales du bâtiment 087 et de son extension : fourniture et pose de canalisations PVC CR8 (pente ≥ 2 cm/m, pose sur lit de sable, remblai sable jusqu’à 20 cm sur canalisation puis tout-venant 0/31,5 compacté), manchons, coudes, culottes, raccords, raccordement des descentes EP, essais d’écoulement, nettoyage avant réception.</w:t>
            </w:r>
          </w:p>
        </w:tc>
        <w:tc>
          <w:tcPr>
            <w:tcW w:w="688" w:type="dxa"/>
            <w:tcMar>
              <w:top w:w="40" w:type="dxa"/>
              <w:left w:w="80" w:type="dxa"/>
              <w:bottom w:w="40" w:type="dxa"/>
              <w:right w:w="80" w:type="dxa"/>
            </w:tcMar>
            <w:vAlign w:val="center"/>
          </w:tcPr>
          <w:p w14:paraId="1FEFBC1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4B0F7C19"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C189856"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698D92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DB88A9A" w14:textId="77777777" w:rsidTr="00E776C5">
        <w:tc>
          <w:tcPr>
            <w:tcW w:w="1271" w:type="dxa"/>
            <w:tcMar>
              <w:top w:w="40" w:type="dxa"/>
              <w:left w:w="80" w:type="dxa"/>
              <w:bottom w:w="40" w:type="dxa"/>
              <w:right w:w="80" w:type="dxa"/>
            </w:tcMar>
            <w:vAlign w:val="center"/>
          </w:tcPr>
          <w:p w14:paraId="47F0322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3.1.4.6.3</w:t>
            </w:r>
          </w:p>
        </w:tc>
        <w:tc>
          <w:tcPr>
            <w:tcW w:w="5103" w:type="dxa"/>
            <w:tcMar>
              <w:top w:w="40" w:type="dxa"/>
              <w:left w:w="80" w:type="dxa"/>
              <w:bottom w:w="40" w:type="dxa"/>
              <w:right w:w="80" w:type="dxa"/>
            </w:tcMar>
            <w:vAlign w:val="center"/>
          </w:tcPr>
          <w:p w14:paraId="64C0916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1.4.11 – Regards EP de visite et de collecte, grilles avaloirs</w:t>
            </w:r>
          </w:p>
          <w:p w14:paraId="4A960B3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Regards béton C25/30 avec cunette, dalle BA ép. 0,10 m à feuillure, enduit hydrofuge 2 cm, tampons et grilles combinées fonte et/ou concaves classe D 400 kN sous zone circulable (NF EN 124 / NF P 98-311).</w:t>
            </w:r>
          </w:p>
        </w:tc>
        <w:tc>
          <w:tcPr>
            <w:tcW w:w="688" w:type="dxa"/>
            <w:tcMar>
              <w:top w:w="40" w:type="dxa"/>
              <w:left w:w="80" w:type="dxa"/>
              <w:bottom w:w="40" w:type="dxa"/>
              <w:right w:w="80" w:type="dxa"/>
            </w:tcMar>
            <w:vAlign w:val="center"/>
          </w:tcPr>
          <w:p w14:paraId="7938C95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12910DB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1C6CECF"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2F8CC0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597FACA" w14:textId="77777777" w:rsidTr="00E776C5">
        <w:tc>
          <w:tcPr>
            <w:tcW w:w="1271" w:type="dxa"/>
            <w:tcMar>
              <w:top w:w="40" w:type="dxa"/>
              <w:left w:w="80" w:type="dxa"/>
              <w:bottom w:w="40" w:type="dxa"/>
              <w:right w:w="80" w:type="dxa"/>
            </w:tcMar>
            <w:vAlign w:val="center"/>
          </w:tcPr>
          <w:p w14:paraId="6BAA102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3.1.4.6.3</w:t>
            </w:r>
          </w:p>
        </w:tc>
        <w:tc>
          <w:tcPr>
            <w:tcW w:w="5103" w:type="dxa"/>
            <w:tcMar>
              <w:top w:w="40" w:type="dxa"/>
              <w:left w:w="80" w:type="dxa"/>
              <w:bottom w:w="40" w:type="dxa"/>
              <w:right w:w="80" w:type="dxa"/>
            </w:tcMar>
            <w:vAlign w:val="center"/>
          </w:tcPr>
          <w:p w14:paraId="763AC30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1.4.12 – Caniveaux EP à grille fonte et avaloirs</w:t>
            </w:r>
          </w:p>
          <w:p w14:paraId="4759683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Réfection des caniveaux d’évacuation des EP des bâtiments conformément au fascicule 31 du CCTG, pose de caniveaux, avaloirs et raccords au réseau EP existant ; canalisation en pied de chaque dauphin jusqu’au caniveau ; joints parfaitement étanches ; branchement à la canalisation existante (découpe soignée, calfeutrement, rebouchage en tout-venant compacté).</w:t>
            </w:r>
          </w:p>
        </w:tc>
        <w:tc>
          <w:tcPr>
            <w:tcW w:w="688" w:type="dxa"/>
            <w:tcMar>
              <w:top w:w="40" w:type="dxa"/>
              <w:left w:w="80" w:type="dxa"/>
              <w:bottom w:w="40" w:type="dxa"/>
              <w:right w:w="80" w:type="dxa"/>
            </w:tcMar>
            <w:vAlign w:val="center"/>
          </w:tcPr>
          <w:p w14:paraId="4C00037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37928F67"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C9436B7"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D03CB3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AFAED73" w14:textId="77777777" w:rsidTr="00E776C5">
        <w:tc>
          <w:tcPr>
            <w:tcW w:w="1271" w:type="dxa"/>
            <w:tcMar>
              <w:top w:w="40" w:type="dxa"/>
              <w:left w:w="80" w:type="dxa"/>
              <w:bottom w:w="40" w:type="dxa"/>
              <w:right w:w="80" w:type="dxa"/>
            </w:tcMar>
            <w:vAlign w:val="center"/>
          </w:tcPr>
          <w:p w14:paraId="327CC9E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3.1.4.6.3</w:t>
            </w:r>
          </w:p>
        </w:tc>
        <w:tc>
          <w:tcPr>
            <w:tcW w:w="5103" w:type="dxa"/>
            <w:tcMar>
              <w:top w:w="40" w:type="dxa"/>
              <w:left w:w="80" w:type="dxa"/>
              <w:bottom w:w="40" w:type="dxa"/>
              <w:right w:w="80" w:type="dxa"/>
            </w:tcMar>
            <w:vAlign w:val="center"/>
          </w:tcPr>
          <w:p w14:paraId="7859CD4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1.4.13 – Ouvrage d’infiltration des eaux pluviales</w:t>
            </w:r>
          </w:p>
          <w:p w14:paraId="2824DF0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Ouvrage dimensionné pour un épisode pluvieux courant avec surverse de sécurité vers réseau existant si nécessaire, fonctionnement gravitaire, rétention temporaire et infiltration lente, modelage à pentes douces : couche de forme + stabilisé (préparation, réglage, nivellement, compactage), grave drainante 20/40 d’indice de vides ≥ 0,30, géotextile filtrant enveloppant (fond, flancs, recouvrement), drains PVC/PEHD perforés Ø100 en fond de massif raccordés aux regards, compactage léger préservant les vides. Réalisation subordonnée à la compatibilité des sols (solution alternative soumise au maître d’œuvre en cas d’impossibilité).</w:t>
            </w:r>
          </w:p>
        </w:tc>
        <w:tc>
          <w:tcPr>
            <w:tcW w:w="688" w:type="dxa"/>
            <w:tcMar>
              <w:top w:w="40" w:type="dxa"/>
              <w:left w:w="80" w:type="dxa"/>
              <w:bottom w:w="40" w:type="dxa"/>
              <w:right w:w="80" w:type="dxa"/>
            </w:tcMar>
            <w:vAlign w:val="center"/>
          </w:tcPr>
          <w:p w14:paraId="298CFF43"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1298083"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033ECE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313D5B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1B8C5ED" w14:textId="77777777" w:rsidTr="00E776C5">
        <w:tc>
          <w:tcPr>
            <w:tcW w:w="1271" w:type="dxa"/>
            <w:tcMar>
              <w:top w:w="40" w:type="dxa"/>
              <w:left w:w="80" w:type="dxa"/>
              <w:bottom w:w="40" w:type="dxa"/>
              <w:right w:w="80" w:type="dxa"/>
            </w:tcMar>
            <w:vAlign w:val="center"/>
          </w:tcPr>
          <w:p w14:paraId="67744D7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3.1.4.6.3</w:t>
            </w:r>
          </w:p>
        </w:tc>
        <w:tc>
          <w:tcPr>
            <w:tcW w:w="5103" w:type="dxa"/>
            <w:tcMar>
              <w:top w:w="40" w:type="dxa"/>
              <w:left w:w="80" w:type="dxa"/>
              <w:bottom w:w="40" w:type="dxa"/>
              <w:right w:w="80" w:type="dxa"/>
            </w:tcMar>
            <w:vAlign w:val="center"/>
          </w:tcPr>
          <w:p w14:paraId="73CD7FC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1.4.14 – Bâtiment H – modification de la descente EP au droit de la future porte-fenêtre</w:t>
            </w:r>
          </w:p>
          <w:p w14:paraId="2DAC37E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Suite au déplacement de la descente d’eau pluviale au droit de la future porte-fenêtre : modification de son écoulement et raccordement au regard existant.</w:t>
            </w:r>
          </w:p>
        </w:tc>
        <w:tc>
          <w:tcPr>
            <w:tcW w:w="688" w:type="dxa"/>
            <w:tcMar>
              <w:top w:w="40" w:type="dxa"/>
              <w:left w:w="80" w:type="dxa"/>
              <w:bottom w:w="40" w:type="dxa"/>
              <w:right w:w="80" w:type="dxa"/>
            </w:tcMar>
            <w:vAlign w:val="center"/>
          </w:tcPr>
          <w:p w14:paraId="42E8A84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728D6B96"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6653CA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4D38596"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D84693C" w14:textId="77777777" w:rsidTr="00E776C5">
        <w:tc>
          <w:tcPr>
            <w:tcW w:w="1271" w:type="dxa"/>
            <w:tcMar>
              <w:top w:w="40" w:type="dxa"/>
              <w:left w:w="80" w:type="dxa"/>
              <w:bottom w:w="40" w:type="dxa"/>
              <w:right w:w="80" w:type="dxa"/>
            </w:tcMar>
            <w:vAlign w:val="center"/>
          </w:tcPr>
          <w:p w14:paraId="488DE74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3.1.4.7</w:t>
            </w:r>
          </w:p>
        </w:tc>
        <w:tc>
          <w:tcPr>
            <w:tcW w:w="5103" w:type="dxa"/>
            <w:tcMar>
              <w:top w:w="40" w:type="dxa"/>
              <w:left w:w="80" w:type="dxa"/>
              <w:bottom w:w="40" w:type="dxa"/>
              <w:right w:w="80" w:type="dxa"/>
            </w:tcMar>
            <w:vAlign w:val="center"/>
          </w:tcPr>
          <w:p w14:paraId="06EF0C0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1.4.15 – Prise de terre des bâtiments – feuillard cuivre en fond de fouille</w:t>
            </w:r>
          </w:p>
          <w:p w14:paraId="1BAE267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Feuillard cuivre section ≥ 60 mm², ép. 2 mm, posé en fond de fouille des fondations, conducteurs amenés à proximité de l’armoire principale du local technique (fourniture des matériaux de prise de terre et connexions au lot technique Électricité).</w:t>
            </w:r>
          </w:p>
        </w:tc>
        <w:tc>
          <w:tcPr>
            <w:tcW w:w="688" w:type="dxa"/>
            <w:tcMar>
              <w:top w:w="40" w:type="dxa"/>
              <w:left w:w="80" w:type="dxa"/>
              <w:bottom w:w="40" w:type="dxa"/>
              <w:right w:w="80" w:type="dxa"/>
            </w:tcMar>
            <w:vAlign w:val="center"/>
          </w:tcPr>
          <w:p w14:paraId="0306719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2941210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29BC0B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C3DE4E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23FA775" w14:textId="77777777" w:rsidTr="00E776C5">
        <w:tc>
          <w:tcPr>
            <w:tcW w:w="1271" w:type="dxa"/>
            <w:tcMar>
              <w:top w:w="40" w:type="dxa"/>
              <w:left w:w="80" w:type="dxa"/>
              <w:bottom w:w="40" w:type="dxa"/>
              <w:right w:w="80" w:type="dxa"/>
            </w:tcMar>
            <w:vAlign w:val="center"/>
          </w:tcPr>
          <w:p w14:paraId="7BC5F67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3.1.4.7.1</w:t>
            </w:r>
          </w:p>
        </w:tc>
        <w:tc>
          <w:tcPr>
            <w:tcW w:w="5103" w:type="dxa"/>
            <w:tcMar>
              <w:top w:w="40" w:type="dxa"/>
              <w:left w:w="80" w:type="dxa"/>
              <w:bottom w:w="40" w:type="dxa"/>
              <w:right w:w="80" w:type="dxa"/>
            </w:tcMar>
            <w:vAlign w:val="center"/>
          </w:tcPr>
          <w:p w14:paraId="748E157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1.4.16 – Réseaux courants forts – fourreaux TPC rouges Ø90</w:t>
            </w:r>
          </w:p>
          <w:p w14:paraId="09DB54D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Fourniture et pose de fourreaux TPC rouges Ø 90 jusqu’au local technique (alimentation électrique), aiguillage, manchons, dispositifs d’obturation, grillage avertisseur rouge, repérage, plans de récolement ; dévoiement des réseaux existants et CPC extérieur compris.</w:t>
            </w:r>
          </w:p>
        </w:tc>
        <w:tc>
          <w:tcPr>
            <w:tcW w:w="688" w:type="dxa"/>
            <w:tcMar>
              <w:top w:w="40" w:type="dxa"/>
              <w:left w:w="80" w:type="dxa"/>
              <w:bottom w:w="40" w:type="dxa"/>
              <w:right w:w="80" w:type="dxa"/>
            </w:tcMar>
            <w:vAlign w:val="center"/>
          </w:tcPr>
          <w:p w14:paraId="3E51D23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63FB0862"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07D8779"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AC2E7B3"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C778944" w14:textId="77777777" w:rsidTr="00E776C5">
        <w:tc>
          <w:tcPr>
            <w:tcW w:w="1271" w:type="dxa"/>
            <w:tcMar>
              <w:top w:w="40" w:type="dxa"/>
              <w:left w:w="80" w:type="dxa"/>
              <w:bottom w:w="40" w:type="dxa"/>
              <w:right w:w="80" w:type="dxa"/>
            </w:tcMar>
            <w:vAlign w:val="center"/>
          </w:tcPr>
          <w:p w14:paraId="5F07D66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3.1.4.7.1</w:t>
            </w:r>
          </w:p>
        </w:tc>
        <w:tc>
          <w:tcPr>
            <w:tcW w:w="5103" w:type="dxa"/>
            <w:tcMar>
              <w:top w:w="40" w:type="dxa"/>
              <w:left w:w="80" w:type="dxa"/>
              <w:bottom w:w="40" w:type="dxa"/>
              <w:right w:w="80" w:type="dxa"/>
            </w:tcMar>
            <w:vAlign w:val="center"/>
          </w:tcPr>
          <w:p w14:paraId="4AB9B97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1.4.17 – Chambres de tirage courants forts</w:t>
            </w:r>
          </w:p>
          <w:p w14:paraId="520BE41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Fourniture et pose, y compris cadres et tampons adaptés à la classe de trafic, nettoyage avant réception.</w:t>
            </w:r>
          </w:p>
        </w:tc>
        <w:tc>
          <w:tcPr>
            <w:tcW w:w="688" w:type="dxa"/>
            <w:tcMar>
              <w:top w:w="40" w:type="dxa"/>
              <w:left w:w="80" w:type="dxa"/>
              <w:bottom w:w="40" w:type="dxa"/>
              <w:right w:w="80" w:type="dxa"/>
            </w:tcMar>
            <w:vAlign w:val="center"/>
          </w:tcPr>
          <w:p w14:paraId="2D3B11F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4E2DEE8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3238B4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5A3EAE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979D795" w14:textId="77777777" w:rsidTr="00E776C5">
        <w:tc>
          <w:tcPr>
            <w:tcW w:w="1271" w:type="dxa"/>
            <w:tcMar>
              <w:top w:w="40" w:type="dxa"/>
              <w:left w:w="80" w:type="dxa"/>
              <w:bottom w:w="40" w:type="dxa"/>
              <w:right w:w="80" w:type="dxa"/>
            </w:tcMar>
            <w:vAlign w:val="center"/>
          </w:tcPr>
          <w:p w14:paraId="20D9DE6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3.1.4.7.2</w:t>
            </w:r>
          </w:p>
        </w:tc>
        <w:tc>
          <w:tcPr>
            <w:tcW w:w="5103" w:type="dxa"/>
            <w:tcMar>
              <w:top w:w="40" w:type="dxa"/>
              <w:left w:w="80" w:type="dxa"/>
              <w:bottom w:w="40" w:type="dxa"/>
              <w:right w:w="80" w:type="dxa"/>
            </w:tcMar>
            <w:vAlign w:val="center"/>
          </w:tcPr>
          <w:p w14:paraId="6134FF8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1.4.18 – Réseaux courants faibles – fourreaux TPC verts Ø42/45</w:t>
            </w:r>
          </w:p>
          <w:p w14:paraId="493D065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Infrastructures télécom / données / réseaux spécifiques DIRISI conformes aux prescriptions DIRISI et Ministère des Armées : fourreaux polyéthylène annelé TPC vert ou équivalent amenés jusqu’au local technique, manchons, accessoires, obturation, aiguillage laissé en place, grillage avertisseur vert, profondeurs et rayons de courbure réglementaires, repérage, contrôles de continuité et d’aiguillage avant réception, plans de récolement et DOE.</w:t>
            </w:r>
          </w:p>
        </w:tc>
        <w:tc>
          <w:tcPr>
            <w:tcW w:w="688" w:type="dxa"/>
            <w:tcMar>
              <w:top w:w="40" w:type="dxa"/>
              <w:left w:w="80" w:type="dxa"/>
              <w:bottom w:w="40" w:type="dxa"/>
              <w:right w:w="80" w:type="dxa"/>
            </w:tcMar>
            <w:vAlign w:val="center"/>
          </w:tcPr>
          <w:p w14:paraId="4529E976"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73EE3F3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5FCEC2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2FCDB6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A6A0228" w14:textId="77777777" w:rsidTr="00E776C5">
        <w:tc>
          <w:tcPr>
            <w:tcW w:w="1271" w:type="dxa"/>
            <w:tcMar>
              <w:top w:w="40" w:type="dxa"/>
              <w:left w:w="80" w:type="dxa"/>
              <w:bottom w:w="40" w:type="dxa"/>
              <w:right w:w="80" w:type="dxa"/>
            </w:tcMar>
            <w:vAlign w:val="center"/>
          </w:tcPr>
          <w:p w14:paraId="32504ED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3.1.4.7.2</w:t>
            </w:r>
          </w:p>
        </w:tc>
        <w:tc>
          <w:tcPr>
            <w:tcW w:w="5103" w:type="dxa"/>
            <w:tcMar>
              <w:top w:w="40" w:type="dxa"/>
              <w:left w:w="80" w:type="dxa"/>
              <w:bottom w:w="40" w:type="dxa"/>
              <w:right w:w="80" w:type="dxa"/>
            </w:tcMar>
            <w:vAlign w:val="center"/>
          </w:tcPr>
          <w:p w14:paraId="4DEC59A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1.4.19 – Chambres de tirage télécom</w:t>
            </w:r>
          </w:p>
          <w:p w14:paraId="7F39331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Implantées aux changements de direction, d’alignement et de profondeur, à distances compatibles avec le tirage futur, conformément aux prescriptions de la DIRISI ; nettoyage avant réception.</w:t>
            </w:r>
          </w:p>
        </w:tc>
        <w:tc>
          <w:tcPr>
            <w:tcW w:w="688" w:type="dxa"/>
            <w:tcMar>
              <w:top w:w="40" w:type="dxa"/>
              <w:left w:w="80" w:type="dxa"/>
              <w:bottom w:w="40" w:type="dxa"/>
              <w:right w:w="80" w:type="dxa"/>
            </w:tcMar>
            <w:vAlign w:val="center"/>
          </w:tcPr>
          <w:p w14:paraId="5068D84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613D4819"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703C50C"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6AB084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0194637" w14:textId="77777777" w:rsidTr="00E776C5">
        <w:tc>
          <w:tcPr>
            <w:tcW w:w="1271" w:type="dxa"/>
            <w:tcMar>
              <w:top w:w="40" w:type="dxa"/>
              <w:left w:w="80" w:type="dxa"/>
              <w:bottom w:w="40" w:type="dxa"/>
              <w:right w:w="80" w:type="dxa"/>
            </w:tcMar>
            <w:vAlign w:val="center"/>
          </w:tcPr>
          <w:p w14:paraId="2FE19B5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3.1.4.8</w:t>
            </w:r>
          </w:p>
        </w:tc>
        <w:tc>
          <w:tcPr>
            <w:tcW w:w="5103" w:type="dxa"/>
            <w:tcMar>
              <w:top w:w="40" w:type="dxa"/>
              <w:left w:w="80" w:type="dxa"/>
              <w:bottom w:w="40" w:type="dxa"/>
              <w:right w:w="80" w:type="dxa"/>
            </w:tcMar>
            <w:vAlign w:val="center"/>
          </w:tcPr>
          <w:p w14:paraId="7D1208A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1.4.20 – Réseau de chaleur – piquage sur réseau existant</w:t>
            </w:r>
          </w:p>
          <w:p w14:paraId="37E33F5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Extension du réseau de chaleur existant du Quartier Brun : investigations préalables, localisation précise des ouvrages, terrassements spécifiques, dégagement manuel, piquage sur réseau existant aux emplacements validés par l’exploitant, raccordements, protections, essais, remise en exploitation ; coupures planifiées avec le maître d’ouvrage et l’exploitant.</w:t>
            </w:r>
          </w:p>
        </w:tc>
        <w:tc>
          <w:tcPr>
            <w:tcW w:w="688" w:type="dxa"/>
            <w:tcMar>
              <w:top w:w="40" w:type="dxa"/>
              <w:left w:w="80" w:type="dxa"/>
              <w:bottom w:w="40" w:type="dxa"/>
              <w:right w:w="80" w:type="dxa"/>
            </w:tcMar>
            <w:vAlign w:val="center"/>
          </w:tcPr>
          <w:p w14:paraId="2401E7DD"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7828DB67"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276019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428E657"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3B6ECBF" w14:textId="77777777" w:rsidTr="00E776C5">
        <w:tc>
          <w:tcPr>
            <w:tcW w:w="1271" w:type="dxa"/>
            <w:tcMar>
              <w:top w:w="40" w:type="dxa"/>
              <w:left w:w="80" w:type="dxa"/>
              <w:bottom w:w="40" w:type="dxa"/>
              <w:right w:w="80" w:type="dxa"/>
            </w:tcMar>
            <w:vAlign w:val="center"/>
          </w:tcPr>
          <w:p w14:paraId="64A75EB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3.1.4.8</w:t>
            </w:r>
          </w:p>
        </w:tc>
        <w:tc>
          <w:tcPr>
            <w:tcW w:w="5103" w:type="dxa"/>
            <w:tcMar>
              <w:top w:w="40" w:type="dxa"/>
              <w:left w:w="80" w:type="dxa"/>
              <w:bottom w:w="40" w:type="dxa"/>
              <w:right w:w="80" w:type="dxa"/>
            </w:tcMar>
            <w:vAlign w:val="center"/>
          </w:tcPr>
          <w:p w14:paraId="03E91E7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1.4.21 – Canalisation pré-isolée DN 90/162 aller/retour</w:t>
            </w:r>
          </w:p>
          <w:p w14:paraId="2142CB7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Canalisations pré-isolées enterrées type polybutène avec BAO pour réseaux de chaleur moyenne température, conduites aller et retour, posées sur fond de fouille réglé et compacté, rayons de courbure admissibles respectés, protections aux traversées et croisements, remblaiement préservant l’isolation et la gaine ; diamètre DN 90/162 retenu pour permettre le raccordement futur des bâtiments 096/098/093 (réserve de capacité dans le dimensionnement des accessoires, organes de coupure et compensation) ; essai de pression, contrôle d’étanchéité, PV remis avant réception.</w:t>
            </w:r>
          </w:p>
        </w:tc>
        <w:tc>
          <w:tcPr>
            <w:tcW w:w="688" w:type="dxa"/>
            <w:tcMar>
              <w:top w:w="40" w:type="dxa"/>
              <w:left w:w="80" w:type="dxa"/>
              <w:bottom w:w="40" w:type="dxa"/>
              <w:right w:w="80" w:type="dxa"/>
            </w:tcMar>
            <w:vAlign w:val="center"/>
          </w:tcPr>
          <w:p w14:paraId="1A84875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69482EA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131A82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90D0649"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167739F" w14:textId="77777777" w:rsidTr="00E776C5">
        <w:tc>
          <w:tcPr>
            <w:tcW w:w="1271" w:type="dxa"/>
            <w:tcMar>
              <w:top w:w="40" w:type="dxa"/>
              <w:left w:w="80" w:type="dxa"/>
              <w:bottom w:w="40" w:type="dxa"/>
              <w:right w:w="80" w:type="dxa"/>
            </w:tcMar>
            <w:vAlign w:val="center"/>
          </w:tcPr>
          <w:p w14:paraId="5BA5272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3.1.4.8</w:t>
            </w:r>
          </w:p>
        </w:tc>
        <w:tc>
          <w:tcPr>
            <w:tcW w:w="5103" w:type="dxa"/>
            <w:tcMar>
              <w:top w:w="40" w:type="dxa"/>
              <w:left w:w="80" w:type="dxa"/>
              <w:bottom w:w="40" w:type="dxa"/>
              <w:right w:w="80" w:type="dxa"/>
            </w:tcMar>
            <w:vAlign w:val="center"/>
          </w:tcPr>
          <w:p w14:paraId="69DB5C0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1.4.22 – Accessoires et raccords du réseau pré-isolé</w:t>
            </w:r>
          </w:p>
          <w:p w14:paraId="1F6765F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Ensemble des accessoires, raccords, soudures, joints d’isolation et organes nécessaires au parfait fonctionnement, conformes aux prescriptions du fabricant.</w:t>
            </w:r>
          </w:p>
        </w:tc>
        <w:tc>
          <w:tcPr>
            <w:tcW w:w="688" w:type="dxa"/>
            <w:tcMar>
              <w:top w:w="40" w:type="dxa"/>
              <w:left w:w="80" w:type="dxa"/>
              <w:bottom w:w="40" w:type="dxa"/>
              <w:right w:w="80" w:type="dxa"/>
            </w:tcMar>
            <w:vAlign w:val="center"/>
          </w:tcPr>
          <w:p w14:paraId="5CBFAF9D"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40C0EFAE"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4B7B14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6193DDF"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F81E8F6" w14:textId="77777777" w:rsidTr="00E776C5">
        <w:tc>
          <w:tcPr>
            <w:tcW w:w="1271" w:type="dxa"/>
            <w:tcMar>
              <w:top w:w="40" w:type="dxa"/>
              <w:left w:w="80" w:type="dxa"/>
              <w:bottom w:w="40" w:type="dxa"/>
              <w:right w:w="80" w:type="dxa"/>
            </w:tcMar>
            <w:vAlign w:val="center"/>
          </w:tcPr>
          <w:p w14:paraId="18CB6BE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3.1.4.8</w:t>
            </w:r>
          </w:p>
        </w:tc>
        <w:tc>
          <w:tcPr>
            <w:tcW w:w="5103" w:type="dxa"/>
            <w:tcMar>
              <w:top w:w="40" w:type="dxa"/>
              <w:left w:w="80" w:type="dxa"/>
              <w:bottom w:w="40" w:type="dxa"/>
              <w:right w:w="80" w:type="dxa"/>
            </w:tcMar>
            <w:vAlign w:val="center"/>
          </w:tcPr>
          <w:p w14:paraId="4EF7989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1.4.23 – Pénétration en façade et attente pour le lot technique chauffage – bât. 087</w:t>
            </w:r>
          </w:p>
          <w:p w14:paraId="0BA6D07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Percements, réservations, fourreaux traversants, dispositifs d’étanchéité (traversées parfaitement étanches), raccordements jusqu’au local technique ou à la sous-station, supports, repérage, protections mécaniques.</w:t>
            </w:r>
          </w:p>
        </w:tc>
        <w:tc>
          <w:tcPr>
            <w:tcW w:w="688" w:type="dxa"/>
            <w:tcMar>
              <w:top w:w="40" w:type="dxa"/>
              <w:left w:w="80" w:type="dxa"/>
              <w:bottom w:w="40" w:type="dxa"/>
              <w:right w:w="80" w:type="dxa"/>
            </w:tcMar>
            <w:vAlign w:val="center"/>
          </w:tcPr>
          <w:p w14:paraId="19987B17"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09B6DFA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7ADAE6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D09795D"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221D2D3" w14:textId="77777777" w:rsidTr="00E776C5">
        <w:tc>
          <w:tcPr>
            <w:tcW w:w="1271" w:type="dxa"/>
            <w:tcMar>
              <w:top w:w="40" w:type="dxa"/>
              <w:left w:w="80" w:type="dxa"/>
              <w:bottom w:w="40" w:type="dxa"/>
              <w:right w:w="80" w:type="dxa"/>
            </w:tcMar>
            <w:vAlign w:val="center"/>
          </w:tcPr>
          <w:p w14:paraId="55D2E8B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3.1.4.9</w:t>
            </w:r>
          </w:p>
        </w:tc>
        <w:tc>
          <w:tcPr>
            <w:tcW w:w="5103" w:type="dxa"/>
            <w:tcMar>
              <w:top w:w="40" w:type="dxa"/>
              <w:left w:w="80" w:type="dxa"/>
              <w:bottom w:w="40" w:type="dxa"/>
              <w:right w:w="80" w:type="dxa"/>
            </w:tcMar>
            <w:vAlign w:val="center"/>
          </w:tcPr>
          <w:p w14:paraId="17370CB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1.4.24 – Aménagements extérieurs – travaux préparatoires et remise en état des abords</w:t>
            </w:r>
          </w:p>
          <w:p w14:paraId="35EFF74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Décapage des matériaux superficiels, reprofilage des abords, déblais/remblais, réglage des plateformes, compactage, préparation des fonds de forme, évacuation des matériaux impropres ; terre végétale et engazonnement de la façade nord autour de la rampe PMR jusqu’en limite de façade ; altimétries assurant l’écoulement des eaux et la continuité des accès (accès existant conservé).</w:t>
            </w:r>
          </w:p>
        </w:tc>
        <w:tc>
          <w:tcPr>
            <w:tcW w:w="688" w:type="dxa"/>
            <w:tcMar>
              <w:top w:w="40" w:type="dxa"/>
              <w:left w:w="80" w:type="dxa"/>
              <w:bottom w:w="40" w:type="dxa"/>
              <w:right w:w="80" w:type="dxa"/>
            </w:tcMar>
            <w:vAlign w:val="center"/>
          </w:tcPr>
          <w:p w14:paraId="51EEA2CE"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4AE89945"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84CBD23"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300D616"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3440146" w14:textId="77777777" w:rsidTr="00E776C5">
        <w:tc>
          <w:tcPr>
            <w:tcW w:w="1271" w:type="dxa"/>
            <w:tcMar>
              <w:top w:w="40" w:type="dxa"/>
              <w:left w:w="80" w:type="dxa"/>
              <w:bottom w:w="40" w:type="dxa"/>
              <w:right w:w="80" w:type="dxa"/>
            </w:tcMar>
            <w:vAlign w:val="center"/>
          </w:tcPr>
          <w:p w14:paraId="06A1B16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3.1.4.9</w:t>
            </w:r>
          </w:p>
        </w:tc>
        <w:tc>
          <w:tcPr>
            <w:tcW w:w="5103" w:type="dxa"/>
            <w:tcMar>
              <w:top w:w="40" w:type="dxa"/>
              <w:left w:w="80" w:type="dxa"/>
              <w:bottom w:w="40" w:type="dxa"/>
              <w:right w:w="80" w:type="dxa"/>
            </w:tcMar>
            <w:vAlign w:val="center"/>
          </w:tcPr>
          <w:p w14:paraId="041FCAF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1.4.25 – Couche de forme GNT 0/31,5 des aménagements extérieurs</w:t>
            </w:r>
          </w:p>
          <w:p w14:paraId="52B8F8B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Préparation du support, géotextile anticontaminant, fourniture et mise en œuvre des matériaux stabilisés type GNT 0/31,5 ou équivalent, réglage, compactage, finition, raccordement aux ouvrages adjacents ; épaisseur adaptée à la destination des surfaces ; réfection définitive des tranchées.</w:t>
            </w:r>
          </w:p>
        </w:tc>
        <w:tc>
          <w:tcPr>
            <w:tcW w:w="688" w:type="dxa"/>
            <w:tcMar>
              <w:top w:w="40" w:type="dxa"/>
              <w:left w:w="80" w:type="dxa"/>
              <w:bottom w:w="40" w:type="dxa"/>
              <w:right w:w="80" w:type="dxa"/>
            </w:tcMar>
            <w:vAlign w:val="center"/>
          </w:tcPr>
          <w:p w14:paraId="1D2B09D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1724F97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081F4F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4A04356"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F7B1DE4" w14:textId="77777777" w:rsidTr="00E776C5">
        <w:tc>
          <w:tcPr>
            <w:tcW w:w="1271" w:type="dxa"/>
            <w:tcMar>
              <w:top w:w="40" w:type="dxa"/>
              <w:left w:w="80" w:type="dxa"/>
              <w:bottom w:w="40" w:type="dxa"/>
              <w:right w:w="80" w:type="dxa"/>
            </w:tcMar>
            <w:vAlign w:val="center"/>
          </w:tcPr>
          <w:p w14:paraId="42F1C74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3.1.4.9</w:t>
            </w:r>
          </w:p>
        </w:tc>
        <w:tc>
          <w:tcPr>
            <w:tcW w:w="5103" w:type="dxa"/>
            <w:tcMar>
              <w:top w:w="40" w:type="dxa"/>
              <w:left w:w="80" w:type="dxa"/>
              <w:bottom w:w="40" w:type="dxa"/>
              <w:right w:w="80" w:type="dxa"/>
            </w:tcMar>
            <w:vAlign w:val="center"/>
          </w:tcPr>
          <w:p w14:paraId="50763BF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1.4.26 – Finition en enrobé drainant</w:t>
            </w:r>
          </w:p>
          <w:p w14:paraId="62E8534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Zones techniques et passage de véhicules depuis l’angle de l’entrée du bâtiment jusqu’à l’angle du bâtiment 085, ainsi que le devant de la façade nord jusqu’au bâtiment 085 : préparation du support, couche d’accrochage, fourniture et mise en œuvre de l’enrobé drainant, réglage, compactage, joints, raccordement aux revêtements existants.</w:t>
            </w:r>
          </w:p>
        </w:tc>
        <w:tc>
          <w:tcPr>
            <w:tcW w:w="688" w:type="dxa"/>
            <w:tcMar>
              <w:top w:w="40" w:type="dxa"/>
              <w:left w:w="80" w:type="dxa"/>
              <w:bottom w:w="40" w:type="dxa"/>
              <w:right w:w="80" w:type="dxa"/>
            </w:tcMar>
            <w:vAlign w:val="center"/>
          </w:tcPr>
          <w:p w14:paraId="05CF494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7C3BAA2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7FC315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0FE1BB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7BBB548" w14:textId="77777777" w:rsidTr="00E776C5">
        <w:tc>
          <w:tcPr>
            <w:tcW w:w="1271" w:type="dxa"/>
            <w:tcMar>
              <w:top w:w="40" w:type="dxa"/>
              <w:left w:w="80" w:type="dxa"/>
              <w:bottom w:w="40" w:type="dxa"/>
              <w:right w:w="80" w:type="dxa"/>
            </w:tcMar>
            <w:vAlign w:val="center"/>
          </w:tcPr>
          <w:p w14:paraId="613693C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3.1.4.9</w:t>
            </w:r>
          </w:p>
        </w:tc>
        <w:tc>
          <w:tcPr>
            <w:tcW w:w="5103" w:type="dxa"/>
            <w:tcMar>
              <w:top w:w="40" w:type="dxa"/>
              <w:left w:w="80" w:type="dxa"/>
              <w:bottom w:w="40" w:type="dxa"/>
              <w:right w:w="80" w:type="dxa"/>
            </w:tcMar>
            <w:vAlign w:val="center"/>
          </w:tcPr>
          <w:p w14:paraId="05D1604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1.4.27 – Cheminements et abords piétons en grave compactée</w:t>
            </w:r>
          </w:p>
          <w:p w14:paraId="4C66D20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Fourniture, mise en œuvre, réglage, compactage, raccordement aux seuils et aménagements existants ; surfaces homogènes, stables et conformes aux exigences d’accessibilité.</w:t>
            </w:r>
          </w:p>
        </w:tc>
        <w:tc>
          <w:tcPr>
            <w:tcW w:w="688" w:type="dxa"/>
            <w:tcMar>
              <w:top w:w="40" w:type="dxa"/>
              <w:left w:w="80" w:type="dxa"/>
              <w:bottom w:w="40" w:type="dxa"/>
              <w:right w:w="80" w:type="dxa"/>
            </w:tcMar>
            <w:vAlign w:val="center"/>
          </w:tcPr>
          <w:p w14:paraId="1F94B276"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268F10C4"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982F602"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0249D85"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B9001A9" w14:textId="77777777" w:rsidTr="00E776C5">
        <w:tc>
          <w:tcPr>
            <w:tcW w:w="1271" w:type="dxa"/>
            <w:tcMar>
              <w:top w:w="40" w:type="dxa"/>
              <w:left w:w="80" w:type="dxa"/>
              <w:bottom w:w="40" w:type="dxa"/>
              <w:right w:w="80" w:type="dxa"/>
            </w:tcMar>
            <w:vAlign w:val="center"/>
          </w:tcPr>
          <w:p w14:paraId="27266D5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3.1.4.9</w:t>
            </w:r>
          </w:p>
        </w:tc>
        <w:tc>
          <w:tcPr>
            <w:tcW w:w="5103" w:type="dxa"/>
            <w:tcMar>
              <w:top w:w="40" w:type="dxa"/>
              <w:left w:w="80" w:type="dxa"/>
              <w:bottom w:w="40" w:type="dxa"/>
              <w:right w:w="80" w:type="dxa"/>
            </w:tcMar>
            <w:vAlign w:val="center"/>
          </w:tcPr>
          <w:p w14:paraId="083C6DF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1.4.28 – Bordures béton de maintien des zones</w:t>
            </w:r>
          </w:p>
          <w:p w14:paraId="115305F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Bordures type T, P ou équivalent selon plans, abords des bâtiments 087 et 085 : terrassement en rigole, lit de pose béton, fourniture, pose, calage, alignement, réglage altimétrique, jointoiement, scellement.</w:t>
            </w:r>
          </w:p>
        </w:tc>
        <w:tc>
          <w:tcPr>
            <w:tcW w:w="688" w:type="dxa"/>
            <w:tcMar>
              <w:top w:w="40" w:type="dxa"/>
              <w:left w:w="80" w:type="dxa"/>
              <w:bottom w:w="40" w:type="dxa"/>
              <w:right w:w="80" w:type="dxa"/>
            </w:tcMar>
            <w:vAlign w:val="center"/>
          </w:tcPr>
          <w:p w14:paraId="3918331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706CBDD6"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6BBBBB2"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B1C665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AB6E457" w14:textId="77777777" w:rsidTr="00E776C5">
        <w:tc>
          <w:tcPr>
            <w:tcW w:w="1271" w:type="dxa"/>
            <w:tcMar>
              <w:top w:w="40" w:type="dxa"/>
              <w:left w:w="80" w:type="dxa"/>
              <w:bottom w:w="40" w:type="dxa"/>
              <w:right w:w="80" w:type="dxa"/>
            </w:tcMar>
            <w:vAlign w:val="center"/>
          </w:tcPr>
          <w:p w14:paraId="6E9C7E3E"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3.1.4.9</w:t>
            </w:r>
          </w:p>
        </w:tc>
        <w:tc>
          <w:tcPr>
            <w:tcW w:w="5103" w:type="dxa"/>
            <w:tcMar>
              <w:top w:w="40" w:type="dxa"/>
              <w:left w:w="80" w:type="dxa"/>
              <w:bottom w:w="40" w:type="dxa"/>
              <w:right w:w="80" w:type="dxa"/>
            </w:tcMar>
            <w:vAlign w:val="center"/>
          </w:tcPr>
          <w:p w14:paraId="04A4062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1.4.29 – Bandes végétalisées de part et d’autre de la Place d’Armes</w:t>
            </w:r>
          </w:p>
          <w:p w14:paraId="238D33A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Conformément au permis de construire : deux bandes de 1,50 m de largeur sur trente mètres linéaires environ – terrassements (décapage de l’enrobé puis de la terre végétale), lit de pose béton, fourniture et pose d’une gaine pour alimentation électrique (amenée d’éclairage future), bordures sur trois côtés, calage, alignement, réglage altimétrique, jointoiement, scellement, remise en place de terre végétale et engazonnement des deux bandes.</w:t>
            </w:r>
          </w:p>
        </w:tc>
        <w:tc>
          <w:tcPr>
            <w:tcW w:w="688" w:type="dxa"/>
            <w:tcMar>
              <w:top w:w="40" w:type="dxa"/>
              <w:left w:w="80" w:type="dxa"/>
              <w:bottom w:w="40" w:type="dxa"/>
              <w:right w:w="80" w:type="dxa"/>
            </w:tcMar>
            <w:vAlign w:val="center"/>
          </w:tcPr>
          <w:p w14:paraId="7B026E11"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745866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142CE01"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AE5BE00"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37F7B6E" w14:textId="77777777" w:rsidTr="00E776C5">
        <w:tc>
          <w:tcPr>
            <w:tcW w:w="1271" w:type="dxa"/>
            <w:tcMar>
              <w:top w:w="40" w:type="dxa"/>
              <w:left w:w="80" w:type="dxa"/>
              <w:bottom w:w="40" w:type="dxa"/>
              <w:right w:w="80" w:type="dxa"/>
            </w:tcMar>
            <w:vAlign w:val="center"/>
          </w:tcPr>
          <w:p w14:paraId="2562851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3.1.4.9</w:t>
            </w:r>
          </w:p>
        </w:tc>
        <w:tc>
          <w:tcPr>
            <w:tcW w:w="5103" w:type="dxa"/>
            <w:tcMar>
              <w:top w:w="40" w:type="dxa"/>
              <w:left w:w="80" w:type="dxa"/>
              <w:bottom w:w="40" w:type="dxa"/>
              <w:right w:w="80" w:type="dxa"/>
            </w:tcMar>
            <w:vAlign w:val="center"/>
          </w:tcPr>
          <w:p w14:paraId="4F98B8F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1.4.30 – Élagage, dessouchage et nettoyage des abords</w:t>
            </w:r>
          </w:p>
          <w:p w14:paraId="30FDC8D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Élagage, enlèvement des branches et nettoyage des zones entourant le bâtiment 087 ; coupe des arbustes et dessouchage devant l’entrée du bâtiment 087 et à l’arrière du bâtiment 085.</w:t>
            </w:r>
          </w:p>
        </w:tc>
        <w:tc>
          <w:tcPr>
            <w:tcW w:w="688" w:type="dxa"/>
            <w:tcMar>
              <w:top w:w="40" w:type="dxa"/>
              <w:left w:w="80" w:type="dxa"/>
              <w:bottom w:w="40" w:type="dxa"/>
              <w:right w:w="80" w:type="dxa"/>
            </w:tcMar>
            <w:vAlign w:val="center"/>
          </w:tcPr>
          <w:p w14:paraId="130F5892"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4EC598C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D83E06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7452A96"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C66C675" w14:textId="77777777" w:rsidTr="00E776C5">
        <w:tc>
          <w:tcPr>
            <w:tcW w:w="1271" w:type="dxa"/>
            <w:tcMar>
              <w:top w:w="40" w:type="dxa"/>
              <w:left w:w="80" w:type="dxa"/>
              <w:bottom w:w="40" w:type="dxa"/>
              <w:right w:w="80" w:type="dxa"/>
            </w:tcMar>
            <w:vAlign w:val="center"/>
          </w:tcPr>
          <w:p w14:paraId="5CAF1AF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3.1.4.9</w:t>
            </w:r>
          </w:p>
        </w:tc>
        <w:tc>
          <w:tcPr>
            <w:tcW w:w="5103" w:type="dxa"/>
            <w:tcMar>
              <w:top w:w="40" w:type="dxa"/>
              <w:left w:w="80" w:type="dxa"/>
              <w:bottom w:w="40" w:type="dxa"/>
              <w:right w:w="80" w:type="dxa"/>
            </w:tcMar>
            <w:vAlign w:val="center"/>
          </w:tcPr>
          <w:p w14:paraId="44AAD7D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1.4.31 – Nettoyage final, remise en état et récolement – zone 087</w:t>
            </w:r>
          </w:p>
          <w:p w14:paraId="69281A7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Enlèvement des matériaux résiduels, évacuation des déchets, nettoyage des voiries, regards, chambres et du puits d’infiltration, dépose des installations provisoires, remise en état générale des abords ; relevés géoréférencés des réseaux, plans de récolement, mise à jour des plans d’exécution, fiches techniques, PV d’essais, DOE complet aux formats PDF et DWG.</w:t>
            </w:r>
          </w:p>
        </w:tc>
        <w:tc>
          <w:tcPr>
            <w:tcW w:w="688" w:type="dxa"/>
            <w:tcMar>
              <w:top w:w="40" w:type="dxa"/>
              <w:left w:w="80" w:type="dxa"/>
              <w:bottom w:w="40" w:type="dxa"/>
              <w:right w:w="80" w:type="dxa"/>
            </w:tcMar>
            <w:vAlign w:val="center"/>
          </w:tcPr>
          <w:p w14:paraId="428C37A0"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183EBA49"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97D4F19"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7503DFD"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420D192" w14:textId="77777777" w:rsidTr="002E467D">
        <w:tc>
          <w:tcPr>
            <w:tcW w:w="10592" w:type="dxa"/>
            <w:gridSpan w:val="6"/>
            <w:shd w:val="clear" w:color="auto" w:fill="BFBFBF"/>
            <w:tcMar>
              <w:top w:w="40" w:type="dxa"/>
              <w:left w:w="80" w:type="dxa"/>
              <w:bottom w:w="40" w:type="dxa"/>
              <w:right w:w="80" w:type="dxa"/>
            </w:tcMar>
            <w:vAlign w:val="center"/>
          </w:tcPr>
          <w:p w14:paraId="0DD87583" w14:textId="77777777" w:rsidR="008A504A" w:rsidRPr="00211073" w:rsidRDefault="008A504A" w:rsidP="00031247">
            <w:pPr>
              <w:spacing w:before="40" w:after="40"/>
              <w:jc w:val="both"/>
              <w:rPr>
                <w:rFonts w:ascii="Times New Roman" w:hAnsi="Times New Roman" w:cs="Times New Roman"/>
                <w:sz w:val="22"/>
                <w:szCs w:val="22"/>
              </w:rPr>
            </w:pPr>
          </w:p>
        </w:tc>
      </w:tr>
      <w:tr w:rsidR="008A504A" w:rsidRPr="00211073" w14:paraId="4072E13F" w14:textId="77777777" w:rsidTr="00E776C5">
        <w:tc>
          <w:tcPr>
            <w:tcW w:w="1271" w:type="dxa"/>
            <w:tcMar>
              <w:top w:w="40" w:type="dxa"/>
              <w:left w:w="80" w:type="dxa"/>
              <w:bottom w:w="40" w:type="dxa"/>
              <w:right w:w="80" w:type="dxa"/>
            </w:tcMar>
            <w:vAlign w:val="center"/>
          </w:tcPr>
          <w:p w14:paraId="3A14A39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3.1.4.10.3</w:t>
            </w:r>
          </w:p>
        </w:tc>
        <w:tc>
          <w:tcPr>
            <w:tcW w:w="5103" w:type="dxa"/>
            <w:tcMar>
              <w:top w:w="40" w:type="dxa"/>
              <w:left w:w="80" w:type="dxa"/>
              <w:bottom w:w="40" w:type="dxa"/>
              <w:right w:w="80" w:type="dxa"/>
            </w:tcMar>
            <w:vAlign w:val="center"/>
          </w:tcPr>
          <w:p w14:paraId="44D55BC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1.5.1 – Implantation des ouvrages – zone H</w:t>
            </w:r>
          </w:p>
          <w:p w14:paraId="482EE5C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Implantation complète : réseau AEP, réseau EU, réseau de chaleur, regards, pénétration sous-station ; vérifications contradictoires avant exécution.</w:t>
            </w:r>
          </w:p>
        </w:tc>
        <w:tc>
          <w:tcPr>
            <w:tcW w:w="688" w:type="dxa"/>
            <w:tcMar>
              <w:top w:w="40" w:type="dxa"/>
              <w:left w:w="80" w:type="dxa"/>
              <w:bottom w:w="40" w:type="dxa"/>
              <w:right w:w="80" w:type="dxa"/>
            </w:tcMar>
            <w:vAlign w:val="center"/>
          </w:tcPr>
          <w:p w14:paraId="4A316F70"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658CF05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AEDB6A3"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C84746A"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DE0B9F8" w14:textId="77777777" w:rsidTr="00E776C5">
        <w:tc>
          <w:tcPr>
            <w:tcW w:w="1271" w:type="dxa"/>
            <w:tcMar>
              <w:top w:w="40" w:type="dxa"/>
              <w:left w:w="80" w:type="dxa"/>
              <w:bottom w:w="40" w:type="dxa"/>
              <w:right w:w="80" w:type="dxa"/>
            </w:tcMar>
            <w:vAlign w:val="center"/>
          </w:tcPr>
          <w:p w14:paraId="1238067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3.1.4.10.4.1</w:t>
            </w:r>
          </w:p>
        </w:tc>
        <w:tc>
          <w:tcPr>
            <w:tcW w:w="5103" w:type="dxa"/>
            <w:tcMar>
              <w:top w:w="40" w:type="dxa"/>
              <w:left w:w="80" w:type="dxa"/>
              <w:bottom w:w="40" w:type="dxa"/>
              <w:right w:w="80" w:type="dxa"/>
            </w:tcMar>
            <w:vAlign w:val="center"/>
          </w:tcPr>
          <w:p w14:paraId="0A5C5E7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1.5.2 – Plateforme – décapage en bande le long du bâtiment</w:t>
            </w:r>
          </w:p>
          <w:p w14:paraId="149FE7C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Décapage de la terre végétale sur une largeur de 1,20 m le long du bâtiment, terrassement en pleine masse, préparation du support pour réalisation d’une bande de dalle béton (dalle traitée en section technique 2).</w:t>
            </w:r>
          </w:p>
        </w:tc>
        <w:tc>
          <w:tcPr>
            <w:tcW w:w="688" w:type="dxa"/>
            <w:tcMar>
              <w:top w:w="40" w:type="dxa"/>
              <w:left w:w="80" w:type="dxa"/>
              <w:bottom w:w="40" w:type="dxa"/>
              <w:right w:w="80" w:type="dxa"/>
            </w:tcMar>
            <w:vAlign w:val="center"/>
          </w:tcPr>
          <w:p w14:paraId="558B5EC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5EC02646"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C8942C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8D426CA"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7779EFC" w14:textId="77777777" w:rsidTr="00E776C5">
        <w:tc>
          <w:tcPr>
            <w:tcW w:w="1271" w:type="dxa"/>
            <w:tcMar>
              <w:top w:w="40" w:type="dxa"/>
              <w:left w:w="80" w:type="dxa"/>
              <w:bottom w:w="40" w:type="dxa"/>
              <w:right w:w="80" w:type="dxa"/>
            </w:tcMar>
            <w:vAlign w:val="center"/>
          </w:tcPr>
          <w:p w14:paraId="414B4DD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3.1.4.10.4.2</w:t>
            </w:r>
          </w:p>
        </w:tc>
        <w:tc>
          <w:tcPr>
            <w:tcW w:w="5103" w:type="dxa"/>
            <w:tcMar>
              <w:top w:w="40" w:type="dxa"/>
              <w:left w:w="80" w:type="dxa"/>
              <w:bottom w:w="40" w:type="dxa"/>
              <w:right w:w="80" w:type="dxa"/>
            </w:tcMar>
            <w:vAlign w:val="center"/>
          </w:tcPr>
          <w:p w14:paraId="00F5F66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1.5.3 – Terrassements en tranchées pour réseaux extérieurs – zone H</w:t>
            </w:r>
          </w:p>
          <w:p w14:paraId="76FB1B0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Fouilles en tranchées profondeur &lt; 1,50 m pour réseaux AEP, EU/EV et réseau de chaleur : terrassement, chargement, évacuation, pompage éventuel, maintien des terres, blindages si nécessaire ; lit de pose et enrobage sable, grillage avertisseur, recouvrement ≥ 20 cm, remblaiement en matériaux sélectionnés compactés par couches, réfections provisoires (§ 3.1.4.10.4 et 10.5).</w:t>
            </w:r>
          </w:p>
        </w:tc>
        <w:tc>
          <w:tcPr>
            <w:tcW w:w="688" w:type="dxa"/>
            <w:tcMar>
              <w:top w:w="40" w:type="dxa"/>
              <w:left w:w="80" w:type="dxa"/>
              <w:bottom w:w="40" w:type="dxa"/>
              <w:right w:w="80" w:type="dxa"/>
            </w:tcMar>
            <w:vAlign w:val="center"/>
          </w:tcPr>
          <w:p w14:paraId="1A4878D8"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FT</w:t>
            </w:r>
          </w:p>
        </w:tc>
        <w:tc>
          <w:tcPr>
            <w:tcW w:w="992" w:type="dxa"/>
            <w:tcMar>
              <w:top w:w="40" w:type="dxa"/>
              <w:left w:w="80" w:type="dxa"/>
              <w:bottom w:w="40" w:type="dxa"/>
              <w:right w:w="80" w:type="dxa"/>
            </w:tcMar>
            <w:vAlign w:val="center"/>
          </w:tcPr>
          <w:p w14:paraId="6950B661"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871A51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AD84FBC"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25AC3A6" w14:textId="77777777" w:rsidTr="00E776C5">
        <w:tc>
          <w:tcPr>
            <w:tcW w:w="1271" w:type="dxa"/>
            <w:tcMar>
              <w:top w:w="40" w:type="dxa"/>
              <w:left w:w="80" w:type="dxa"/>
              <w:bottom w:w="40" w:type="dxa"/>
              <w:right w:w="80" w:type="dxa"/>
            </w:tcMar>
            <w:vAlign w:val="center"/>
          </w:tcPr>
          <w:p w14:paraId="431B1286"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3.1.4.10.7 / 10.8</w:t>
            </w:r>
          </w:p>
        </w:tc>
        <w:tc>
          <w:tcPr>
            <w:tcW w:w="5103" w:type="dxa"/>
            <w:tcMar>
              <w:top w:w="40" w:type="dxa"/>
              <w:left w:w="80" w:type="dxa"/>
              <w:bottom w:w="40" w:type="dxa"/>
              <w:right w:w="80" w:type="dxa"/>
            </w:tcMar>
            <w:vAlign w:val="center"/>
          </w:tcPr>
          <w:p w14:paraId="00A2649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1.5.4 – AEP – nouvelle arrivée dans la sous-station H</w:t>
            </w:r>
          </w:p>
          <w:p w14:paraId="70F9BA6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Raccordement sur le réseau existant (reprise sur alimentation existante, repérage, coupe propre, raccords électrosoudables ou mécaniques, essais d’étanchéité), fourniture et pose de canalisation PEHD PN 16 Ø40 mm, lit de sable 10 cm sous et en enrobage, grillage avertisseur bleu à 20 cm, raccords, manchons, colliers de prise en charge, traversées de parois, vannes, essais de pression, désinfection, mise en service.</w:t>
            </w:r>
          </w:p>
        </w:tc>
        <w:tc>
          <w:tcPr>
            <w:tcW w:w="688" w:type="dxa"/>
            <w:tcMar>
              <w:top w:w="40" w:type="dxa"/>
              <w:left w:w="80" w:type="dxa"/>
              <w:bottom w:w="40" w:type="dxa"/>
              <w:right w:w="80" w:type="dxa"/>
            </w:tcMar>
            <w:vAlign w:val="center"/>
          </w:tcPr>
          <w:p w14:paraId="3770576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6BD533E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D33FA1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E0DCC1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A14ACEB" w14:textId="77777777" w:rsidTr="00E776C5">
        <w:tc>
          <w:tcPr>
            <w:tcW w:w="1271" w:type="dxa"/>
            <w:tcMar>
              <w:top w:w="40" w:type="dxa"/>
              <w:left w:w="80" w:type="dxa"/>
              <w:bottom w:w="40" w:type="dxa"/>
              <w:right w:w="80" w:type="dxa"/>
            </w:tcMar>
            <w:vAlign w:val="center"/>
          </w:tcPr>
          <w:p w14:paraId="1F10B3E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3.1.4.10.9</w:t>
            </w:r>
          </w:p>
        </w:tc>
        <w:tc>
          <w:tcPr>
            <w:tcW w:w="5103" w:type="dxa"/>
            <w:tcMar>
              <w:top w:w="40" w:type="dxa"/>
              <w:left w:w="80" w:type="dxa"/>
              <w:bottom w:w="40" w:type="dxa"/>
              <w:right w:w="80" w:type="dxa"/>
            </w:tcMar>
            <w:vAlign w:val="center"/>
          </w:tcPr>
          <w:p w14:paraId="5ED2CE2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1.5.5 – Robinet de coupure extérieur + vanne d’arrêt intérieure – bât. H</w:t>
            </w:r>
          </w:p>
          <w:p w14:paraId="583CA11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Robinet de coupure extérieur accessible et protégé conforme aux exigences du service des eaux ; vanne d’arrêt intérieure en amont immédiat de l’installation ; dispositifs agréés, anticorrosion, adaptés à l’eau potable.</w:t>
            </w:r>
          </w:p>
        </w:tc>
        <w:tc>
          <w:tcPr>
            <w:tcW w:w="688" w:type="dxa"/>
            <w:tcMar>
              <w:top w:w="40" w:type="dxa"/>
              <w:left w:w="80" w:type="dxa"/>
              <w:bottom w:w="40" w:type="dxa"/>
              <w:right w:w="80" w:type="dxa"/>
            </w:tcMar>
            <w:vAlign w:val="center"/>
          </w:tcPr>
          <w:p w14:paraId="28FBC14C"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5D335C52"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6699C38"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C9ACF6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49F1CD4" w14:textId="77777777" w:rsidTr="00E776C5">
        <w:tc>
          <w:tcPr>
            <w:tcW w:w="1271" w:type="dxa"/>
            <w:tcMar>
              <w:top w:w="40" w:type="dxa"/>
              <w:left w:w="80" w:type="dxa"/>
              <w:bottom w:w="40" w:type="dxa"/>
              <w:right w:w="80" w:type="dxa"/>
            </w:tcMar>
            <w:vAlign w:val="center"/>
          </w:tcPr>
          <w:p w14:paraId="563A73E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3.1.4.10.10</w:t>
            </w:r>
          </w:p>
        </w:tc>
        <w:tc>
          <w:tcPr>
            <w:tcW w:w="5103" w:type="dxa"/>
            <w:tcMar>
              <w:top w:w="40" w:type="dxa"/>
              <w:left w:w="80" w:type="dxa"/>
              <w:bottom w:w="40" w:type="dxa"/>
              <w:right w:w="80" w:type="dxa"/>
            </w:tcMar>
            <w:vAlign w:val="center"/>
          </w:tcPr>
          <w:p w14:paraId="1B7C8E0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1.5.6 – Assainissement EU – vidange et neutralisation de la fosse septique</w:t>
            </w:r>
          </w:p>
          <w:p w14:paraId="14607B3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Vidange et neutralisation de la fosse septique située sous la dalle du couloir du bâtiment 073, y compris évacuation des matières en filière agréée et traitement.</w:t>
            </w:r>
          </w:p>
        </w:tc>
        <w:tc>
          <w:tcPr>
            <w:tcW w:w="688" w:type="dxa"/>
            <w:tcMar>
              <w:top w:w="40" w:type="dxa"/>
              <w:left w:w="80" w:type="dxa"/>
              <w:bottom w:w="40" w:type="dxa"/>
              <w:right w:w="80" w:type="dxa"/>
            </w:tcMar>
            <w:vAlign w:val="center"/>
          </w:tcPr>
          <w:p w14:paraId="5464491E"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655F711"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AF4019F"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DEEFE51"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A099450" w14:textId="77777777" w:rsidTr="00E776C5">
        <w:tc>
          <w:tcPr>
            <w:tcW w:w="1271" w:type="dxa"/>
            <w:tcMar>
              <w:top w:w="40" w:type="dxa"/>
              <w:left w:w="80" w:type="dxa"/>
              <w:bottom w:w="40" w:type="dxa"/>
              <w:right w:w="80" w:type="dxa"/>
            </w:tcMar>
            <w:vAlign w:val="center"/>
          </w:tcPr>
          <w:p w14:paraId="0721BBB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3.1.4.10.10</w:t>
            </w:r>
          </w:p>
        </w:tc>
        <w:tc>
          <w:tcPr>
            <w:tcW w:w="5103" w:type="dxa"/>
            <w:tcMar>
              <w:top w:w="40" w:type="dxa"/>
              <w:left w:w="80" w:type="dxa"/>
              <w:bottom w:w="40" w:type="dxa"/>
              <w:right w:w="80" w:type="dxa"/>
            </w:tcMar>
            <w:vAlign w:val="center"/>
          </w:tcPr>
          <w:p w14:paraId="342B5F5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1.5.7 – Assainissement EU – reprise des évacuations et raccordement sur collecteur DN 250</w:t>
            </w:r>
          </w:p>
          <w:p w14:paraId="7EF5F3E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Reprise des évacuations EU et raccordement sur le collecteur EU existant en béton DN 250 : sondage préalable, carottage éventuel, culotte ou piquage étanche, reprise de cunette si nécessaire, canalisation PVC CR8 DN 125 (± 15 ml *), regard de visite (1 u), essais d’étanchéité et remise en état.</w:t>
            </w:r>
          </w:p>
        </w:tc>
        <w:tc>
          <w:tcPr>
            <w:tcW w:w="688" w:type="dxa"/>
            <w:tcMar>
              <w:top w:w="40" w:type="dxa"/>
              <w:left w:w="80" w:type="dxa"/>
              <w:bottom w:w="40" w:type="dxa"/>
              <w:right w:w="80" w:type="dxa"/>
            </w:tcMar>
            <w:vAlign w:val="center"/>
          </w:tcPr>
          <w:p w14:paraId="3C9B00EB"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17F181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3CC8A65"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8E5FC36"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F3DEB16" w14:textId="77777777" w:rsidTr="00E776C5">
        <w:tc>
          <w:tcPr>
            <w:tcW w:w="1271" w:type="dxa"/>
            <w:tcMar>
              <w:top w:w="40" w:type="dxa"/>
              <w:left w:w="80" w:type="dxa"/>
              <w:bottom w:w="40" w:type="dxa"/>
              <w:right w:w="80" w:type="dxa"/>
            </w:tcMar>
            <w:vAlign w:val="center"/>
          </w:tcPr>
          <w:p w14:paraId="4C8B7BB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3.1.4.10.11</w:t>
            </w:r>
          </w:p>
        </w:tc>
        <w:tc>
          <w:tcPr>
            <w:tcW w:w="5103" w:type="dxa"/>
            <w:tcMar>
              <w:top w:w="40" w:type="dxa"/>
              <w:left w:w="80" w:type="dxa"/>
              <w:bottom w:w="40" w:type="dxa"/>
              <w:right w:w="80" w:type="dxa"/>
            </w:tcMar>
            <w:vAlign w:val="center"/>
          </w:tcPr>
          <w:p w14:paraId="1E16976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1.5.8 – Réseau de chaleur – raccordement de la sous-station H</w:t>
            </w:r>
          </w:p>
          <w:p w14:paraId="63BAA4B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Raccordement de la future sous-station du bâtiment H au réseau de chaleur existant : investigations préalables, localisation des réseaux, terrassements, dégagement manuel, raccordement sur le réseau primaire, canalisations pré-isolées polybutène avec BAO (conduites aller/retour et accessoires), protections mécaniques, essais, remise en exploitation, PV avant réception ; coordination avec le lot Chauffage et l’exploitant.</w:t>
            </w:r>
          </w:p>
        </w:tc>
        <w:tc>
          <w:tcPr>
            <w:tcW w:w="688" w:type="dxa"/>
            <w:tcMar>
              <w:top w:w="40" w:type="dxa"/>
              <w:left w:w="80" w:type="dxa"/>
              <w:bottom w:w="40" w:type="dxa"/>
              <w:right w:w="80" w:type="dxa"/>
            </w:tcMar>
            <w:vAlign w:val="center"/>
          </w:tcPr>
          <w:p w14:paraId="0A4E65C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7CA2BCC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A3147C9"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F9B98B4"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D033C80" w14:textId="77777777" w:rsidTr="00E776C5">
        <w:tc>
          <w:tcPr>
            <w:tcW w:w="1271" w:type="dxa"/>
            <w:tcMar>
              <w:top w:w="40" w:type="dxa"/>
              <w:left w:w="80" w:type="dxa"/>
              <w:bottom w:w="40" w:type="dxa"/>
              <w:right w:w="80" w:type="dxa"/>
            </w:tcMar>
            <w:vAlign w:val="center"/>
          </w:tcPr>
          <w:p w14:paraId="75707F9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3.1.4.10.11</w:t>
            </w:r>
          </w:p>
        </w:tc>
        <w:tc>
          <w:tcPr>
            <w:tcW w:w="5103" w:type="dxa"/>
            <w:tcMar>
              <w:top w:w="40" w:type="dxa"/>
              <w:left w:w="80" w:type="dxa"/>
              <w:bottom w:w="40" w:type="dxa"/>
              <w:right w:w="80" w:type="dxa"/>
            </w:tcMar>
            <w:vAlign w:val="center"/>
          </w:tcPr>
          <w:p w14:paraId="77DB7A1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1.5.9 – Pénétration en façade et attentes sous-station H</w:t>
            </w:r>
          </w:p>
          <w:p w14:paraId="39E824C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Percements, réservations, fourreaux traversants, dispositifs d’étanchéité, calfeutrements, protections mécaniques, repérage ; le lot VRD s’arrête à la mise à disposition des attentes en façade ou dans le volume technique défini au projet (sous-station, échangeurs, panoplies, régulation et raccordements intérieurs au lot Chauffage).</w:t>
            </w:r>
          </w:p>
        </w:tc>
        <w:tc>
          <w:tcPr>
            <w:tcW w:w="688" w:type="dxa"/>
            <w:tcMar>
              <w:top w:w="40" w:type="dxa"/>
              <w:left w:w="80" w:type="dxa"/>
              <w:bottom w:w="40" w:type="dxa"/>
              <w:right w:w="80" w:type="dxa"/>
            </w:tcMar>
            <w:vAlign w:val="center"/>
          </w:tcPr>
          <w:p w14:paraId="19D74DA5"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73CA6FA1"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82978A3"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A05D684"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75D4CAE" w14:textId="77777777" w:rsidTr="00E776C5">
        <w:tc>
          <w:tcPr>
            <w:tcW w:w="1271" w:type="dxa"/>
            <w:tcMar>
              <w:top w:w="40" w:type="dxa"/>
              <w:left w:w="80" w:type="dxa"/>
              <w:bottom w:w="40" w:type="dxa"/>
              <w:right w:w="80" w:type="dxa"/>
            </w:tcMar>
            <w:vAlign w:val="center"/>
          </w:tcPr>
          <w:p w14:paraId="4034DD5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3.1.4.10.12 à 10.14</w:t>
            </w:r>
          </w:p>
        </w:tc>
        <w:tc>
          <w:tcPr>
            <w:tcW w:w="5103" w:type="dxa"/>
            <w:tcMar>
              <w:top w:w="40" w:type="dxa"/>
              <w:left w:w="80" w:type="dxa"/>
              <w:bottom w:w="40" w:type="dxa"/>
              <w:right w:w="80" w:type="dxa"/>
            </w:tcMar>
            <w:vAlign w:val="center"/>
          </w:tcPr>
          <w:p w14:paraId="471BCFC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1.5.10 – Réfections, nettoyage final, récolement et DOE – zone H</w:t>
            </w:r>
          </w:p>
          <w:p w14:paraId="10FE231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Réfection des tranchées, reprise des revêtements, remise en état des espaces verts ; enlèvement des matériaux résiduels, évacuation des déchets, nettoyage des voiries et regards, dépose des installations provisoires, remise en état générale ; relevés géoréférencés, plans de récolement PDF et DWG, fiches techniques, PV d’essais, DOE complet.</w:t>
            </w:r>
          </w:p>
        </w:tc>
        <w:tc>
          <w:tcPr>
            <w:tcW w:w="688" w:type="dxa"/>
            <w:tcMar>
              <w:top w:w="40" w:type="dxa"/>
              <w:left w:w="80" w:type="dxa"/>
              <w:bottom w:w="40" w:type="dxa"/>
              <w:right w:w="80" w:type="dxa"/>
            </w:tcMar>
            <w:vAlign w:val="center"/>
          </w:tcPr>
          <w:p w14:paraId="0093F1A3"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46A99F01"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445CA52"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46F92B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3EAC5E3" w14:textId="77777777" w:rsidTr="00E776C5">
        <w:tc>
          <w:tcPr>
            <w:tcW w:w="1271" w:type="dxa"/>
            <w:shd w:val="clear" w:color="auto" w:fill="F2F2F2"/>
            <w:tcMar>
              <w:top w:w="40" w:type="dxa"/>
              <w:left w:w="80" w:type="dxa"/>
              <w:bottom w:w="40" w:type="dxa"/>
              <w:right w:w="80" w:type="dxa"/>
            </w:tcMar>
            <w:vAlign w:val="center"/>
          </w:tcPr>
          <w:p w14:paraId="115377E5" w14:textId="77777777" w:rsidR="008A504A" w:rsidRPr="00211073" w:rsidRDefault="008A504A">
            <w:pPr>
              <w:spacing w:before="40" w:after="40"/>
              <w:rPr>
                <w:rFonts w:ascii="Times New Roman" w:hAnsi="Times New Roman" w:cs="Times New Roman"/>
                <w:sz w:val="22"/>
                <w:szCs w:val="22"/>
              </w:rPr>
            </w:pPr>
          </w:p>
        </w:tc>
        <w:tc>
          <w:tcPr>
            <w:tcW w:w="6783" w:type="dxa"/>
            <w:gridSpan w:val="3"/>
            <w:shd w:val="clear" w:color="auto" w:fill="F2F2F2"/>
            <w:tcMar>
              <w:top w:w="40" w:type="dxa"/>
              <w:left w:w="80" w:type="dxa"/>
              <w:bottom w:w="40" w:type="dxa"/>
              <w:right w:w="80" w:type="dxa"/>
            </w:tcMar>
            <w:vAlign w:val="center"/>
          </w:tcPr>
          <w:p w14:paraId="4A2B470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SOUS-TOTAL SECTION TECHNIQUE N° 1 – € HT</w:t>
            </w:r>
          </w:p>
        </w:tc>
        <w:tc>
          <w:tcPr>
            <w:tcW w:w="1133" w:type="dxa"/>
            <w:shd w:val="clear" w:color="auto" w:fill="F2F2F2"/>
            <w:tcMar>
              <w:top w:w="40" w:type="dxa"/>
              <w:left w:w="80" w:type="dxa"/>
              <w:bottom w:w="40" w:type="dxa"/>
              <w:right w:w="80" w:type="dxa"/>
            </w:tcMar>
            <w:vAlign w:val="center"/>
          </w:tcPr>
          <w:p w14:paraId="7950081E" w14:textId="77777777" w:rsidR="008A504A" w:rsidRPr="00211073" w:rsidRDefault="008A504A">
            <w:pPr>
              <w:spacing w:before="40" w:after="40"/>
              <w:rPr>
                <w:rFonts w:ascii="Times New Roman" w:hAnsi="Times New Roman" w:cs="Times New Roman"/>
                <w:sz w:val="22"/>
                <w:szCs w:val="22"/>
              </w:rPr>
            </w:pPr>
          </w:p>
        </w:tc>
        <w:tc>
          <w:tcPr>
            <w:tcW w:w="1405" w:type="dxa"/>
            <w:shd w:val="clear" w:color="auto" w:fill="F2F2F2"/>
            <w:tcMar>
              <w:top w:w="40" w:type="dxa"/>
              <w:left w:w="80" w:type="dxa"/>
              <w:bottom w:w="40" w:type="dxa"/>
              <w:right w:w="80" w:type="dxa"/>
            </w:tcMar>
            <w:vAlign w:val="center"/>
          </w:tcPr>
          <w:p w14:paraId="0E54526D" w14:textId="77777777" w:rsidR="008A504A" w:rsidRPr="00211073" w:rsidRDefault="008A504A">
            <w:pPr>
              <w:spacing w:before="40" w:after="40"/>
              <w:rPr>
                <w:rFonts w:ascii="Times New Roman" w:hAnsi="Times New Roman" w:cs="Times New Roman"/>
                <w:sz w:val="22"/>
                <w:szCs w:val="22"/>
              </w:rPr>
            </w:pPr>
          </w:p>
        </w:tc>
      </w:tr>
      <w:tr w:rsidR="008A504A" w:rsidRPr="00211073" w14:paraId="20CD810A" w14:textId="77777777" w:rsidTr="002E467D">
        <w:tc>
          <w:tcPr>
            <w:tcW w:w="10592" w:type="dxa"/>
            <w:gridSpan w:val="6"/>
            <w:shd w:val="clear" w:color="auto" w:fill="A6A6A6"/>
            <w:tcMar>
              <w:top w:w="40" w:type="dxa"/>
              <w:left w:w="80" w:type="dxa"/>
              <w:bottom w:w="40" w:type="dxa"/>
              <w:right w:w="80" w:type="dxa"/>
            </w:tcMar>
            <w:vAlign w:val="center"/>
          </w:tcPr>
          <w:p w14:paraId="70B6685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SECTION TECHNIQUE N° 2 – MAÇONNERIE ET ENDUIT EXTÉRIEUR (extension R+1 d’environ 73 m² d’emprise et ouvrages divers bât. 087 et H)</w:t>
            </w:r>
          </w:p>
        </w:tc>
      </w:tr>
      <w:tr w:rsidR="008A504A" w:rsidRPr="00211073" w14:paraId="43461523" w14:textId="77777777" w:rsidTr="002E467D">
        <w:tc>
          <w:tcPr>
            <w:tcW w:w="10592" w:type="dxa"/>
            <w:gridSpan w:val="6"/>
            <w:shd w:val="clear" w:color="auto" w:fill="BFBFBF"/>
            <w:tcMar>
              <w:top w:w="40" w:type="dxa"/>
              <w:left w:w="80" w:type="dxa"/>
              <w:bottom w:w="40" w:type="dxa"/>
              <w:right w:w="80" w:type="dxa"/>
            </w:tcMar>
            <w:vAlign w:val="center"/>
          </w:tcPr>
          <w:p w14:paraId="06DC0F5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 – Maçonnerie : construction de l’extension du bâtiment 87, dalle sol, dalle étage (CCTP § 3.2.4)</w:t>
            </w:r>
          </w:p>
        </w:tc>
      </w:tr>
      <w:tr w:rsidR="008A504A" w:rsidRPr="00211073" w14:paraId="5D8D5B7B" w14:textId="77777777" w:rsidTr="00E776C5">
        <w:tc>
          <w:tcPr>
            <w:tcW w:w="1271" w:type="dxa"/>
            <w:tcMar>
              <w:top w:w="40" w:type="dxa"/>
              <w:left w:w="80" w:type="dxa"/>
              <w:bottom w:w="40" w:type="dxa"/>
              <w:right w:w="80" w:type="dxa"/>
            </w:tcMar>
            <w:vAlign w:val="center"/>
          </w:tcPr>
          <w:p w14:paraId="72A5BBF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3.2.4.2</w:t>
            </w:r>
          </w:p>
        </w:tc>
        <w:tc>
          <w:tcPr>
            <w:tcW w:w="5103" w:type="dxa"/>
            <w:tcMar>
              <w:top w:w="40" w:type="dxa"/>
              <w:left w:w="80" w:type="dxa"/>
              <w:bottom w:w="40" w:type="dxa"/>
              <w:right w:w="80" w:type="dxa"/>
            </w:tcMar>
            <w:vAlign w:val="center"/>
          </w:tcPr>
          <w:p w14:paraId="5B284A1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 – Réception des fonds de fouille et béton de propreté C16/20</w:t>
            </w:r>
          </w:p>
          <w:p w14:paraId="33B0500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Réception contradictoire des fonds de fouille avec le maître d’œuvre et le géotechnicien (mission G3 à la charge de l’entreprise, y compris série de fouilles géologiques au droit des futures fondations), finition manuelle ou au godet de curage, coulage du béton de propreté ép. ≥ 5 cm dès ouverture des fouilles ; assèchement par pompage et blindage en tant que de besoin.</w:t>
            </w:r>
          </w:p>
        </w:tc>
        <w:tc>
          <w:tcPr>
            <w:tcW w:w="688" w:type="dxa"/>
            <w:tcMar>
              <w:top w:w="40" w:type="dxa"/>
              <w:left w:w="80" w:type="dxa"/>
              <w:bottom w:w="40" w:type="dxa"/>
              <w:right w:w="80" w:type="dxa"/>
            </w:tcMar>
            <w:vAlign w:val="center"/>
          </w:tcPr>
          <w:p w14:paraId="0DFA919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60B0AD37"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4F202E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3653ACC"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9266774" w14:textId="77777777" w:rsidTr="00E776C5">
        <w:tc>
          <w:tcPr>
            <w:tcW w:w="1271" w:type="dxa"/>
            <w:tcMar>
              <w:top w:w="40" w:type="dxa"/>
              <w:left w:w="80" w:type="dxa"/>
              <w:bottom w:w="40" w:type="dxa"/>
              <w:right w:w="80" w:type="dxa"/>
            </w:tcMar>
            <w:vAlign w:val="center"/>
          </w:tcPr>
          <w:p w14:paraId="12FB607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3.2.4.2</w:t>
            </w:r>
          </w:p>
        </w:tc>
        <w:tc>
          <w:tcPr>
            <w:tcW w:w="5103" w:type="dxa"/>
            <w:tcMar>
              <w:top w:w="40" w:type="dxa"/>
              <w:left w:w="80" w:type="dxa"/>
              <w:bottom w:w="40" w:type="dxa"/>
              <w:right w:w="80" w:type="dxa"/>
            </w:tcMar>
            <w:vAlign w:val="center"/>
          </w:tcPr>
          <w:p w14:paraId="50AF91F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2.1.2 – Gros béton de rattrapage et purges</w:t>
            </w:r>
          </w:p>
          <w:p w14:paraId="7A7F6C1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Purge et substitution par gros béton coulé pleine fouille de toute poche de moindre consistance ; surprofondeurs éventuelles de l’horizon d’ancrage traitées par gros béton de rattrapage, au cas par cas en phase d’exécution ; en présence de remontées du toit calcaire altéré, approfondissement uniforme de l’ancrage dans le calcaire altéré.</w:t>
            </w:r>
          </w:p>
        </w:tc>
        <w:tc>
          <w:tcPr>
            <w:tcW w:w="688" w:type="dxa"/>
            <w:tcMar>
              <w:top w:w="40" w:type="dxa"/>
              <w:left w:w="80" w:type="dxa"/>
              <w:bottom w:w="40" w:type="dxa"/>
              <w:right w:w="80" w:type="dxa"/>
            </w:tcMar>
            <w:vAlign w:val="center"/>
          </w:tcPr>
          <w:p w14:paraId="0561E95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m³</w:t>
            </w:r>
          </w:p>
        </w:tc>
        <w:tc>
          <w:tcPr>
            <w:tcW w:w="992" w:type="dxa"/>
            <w:tcMar>
              <w:top w:w="40" w:type="dxa"/>
              <w:left w:w="80" w:type="dxa"/>
              <w:bottom w:w="40" w:type="dxa"/>
              <w:right w:w="80" w:type="dxa"/>
            </w:tcMar>
            <w:vAlign w:val="center"/>
          </w:tcPr>
          <w:p w14:paraId="1841CA16"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EF25DCC"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305309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7CAA991" w14:textId="77777777" w:rsidTr="00E776C5">
        <w:tc>
          <w:tcPr>
            <w:tcW w:w="1271" w:type="dxa"/>
            <w:tcMar>
              <w:top w:w="40" w:type="dxa"/>
              <w:left w:w="80" w:type="dxa"/>
              <w:bottom w:w="40" w:type="dxa"/>
              <w:right w:w="80" w:type="dxa"/>
            </w:tcMar>
            <w:vAlign w:val="center"/>
          </w:tcPr>
          <w:p w14:paraId="715B890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3.2.4.3</w:t>
            </w:r>
          </w:p>
        </w:tc>
        <w:tc>
          <w:tcPr>
            <w:tcW w:w="5103" w:type="dxa"/>
            <w:tcMar>
              <w:top w:w="40" w:type="dxa"/>
              <w:left w:w="80" w:type="dxa"/>
              <w:bottom w:w="40" w:type="dxa"/>
              <w:right w:w="80" w:type="dxa"/>
            </w:tcMar>
            <w:vAlign w:val="center"/>
          </w:tcPr>
          <w:p w14:paraId="5FA3F09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2.1.3 – Semelles filantes BA C25/30</w:t>
            </w:r>
          </w:p>
          <w:p w14:paraId="2F5182D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Largeur minimale 40 cm, béton C25/30 XC2 (XA selon essais), enrobage 4-5 cm, ferraillage B500B selon note de calcul du BET, béton coulé pleine fouille sur toute la hauteur ; ancrage ≥ 0,40 m dans l’argile à cailloutis/blocs, assise ≥ 1,20 m/TA et ≥ 1,50 m/sol extérieur fini (garde hydrique retrait-gonflement) ; contraintes admissibles ELU 0,24 MPa / ELS qp 0,15 MPa.</w:t>
            </w:r>
          </w:p>
        </w:tc>
        <w:tc>
          <w:tcPr>
            <w:tcW w:w="688" w:type="dxa"/>
            <w:tcMar>
              <w:top w:w="40" w:type="dxa"/>
              <w:left w:w="80" w:type="dxa"/>
              <w:bottom w:w="40" w:type="dxa"/>
              <w:right w:w="80" w:type="dxa"/>
            </w:tcMar>
            <w:vAlign w:val="center"/>
          </w:tcPr>
          <w:p w14:paraId="6515052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7272EECC"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E3FF535"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6AEB7B7"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024FB15" w14:textId="77777777" w:rsidTr="00E776C5">
        <w:tc>
          <w:tcPr>
            <w:tcW w:w="1271" w:type="dxa"/>
            <w:tcMar>
              <w:top w:w="40" w:type="dxa"/>
              <w:left w:w="80" w:type="dxa"/>
              <w:bottom w:w="40" w:type="dxa"/>
              <w:right w:w="80" w:type="dxa"/>
            </w:tcMar>
            <w:vAlign w:val="center"/>
          </w:tcPr>
          <w:p w14:paraId="64D8017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3.2.4.3</w:t>
            </w:r>
          </w:p>
        </w:tc>
        <w:tc>
          <w:tcPr>
            <w:tcW w:w="5103" w:type="dxa"/>
            <w:tcMar>
              <w:top w:w="40" w:type="dxa"/>
              <w:left w:w="80" w:type="dxa"/>
              <w:bottom w:w="40" w:type="dxa"/>
              <w:right w:w="80" w:type="dxa"/>
            </w:tcMar>
            <w:vAlign w:val="center"/>
          </w:tcPr>
          <w:p w14:paraId="4DBCC0E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2.1.4 – Semelles isolées BA C25/30 sous poteaux</w:t>
            </w:r>
          </w:p>
          <w:p w14:paraId="5D41C1E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Largeur minimale 60 cm, armées avec attentes verticales HA pour liaisonnement des poteaux et refends ; semelles déportées en retrait des fondations existantes, recentrage des charges par longrines de redressement (§ 3.2.1.4).</w:t>
            </w:r>
          </w:p>
        </w:tc>
        <w:tc>
          <w:tcPr>
            <w:tcW w:w="688" w:type="dxa"/>
            <w:tcMar>
              <w:top w:w="40" w:type="dxa"/>
              <w:left w:w="80" w:type="dxa"/>
              <w:bottom w:w="40" w:type="dxa"/>
              <w:right w:w="80" w:type="dxa"/>
            </w:tcMar>
            <w:vAlign w:val="center"/>
          </w:tcPr>
          <w:p w14:paraId="3EB970A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6B244C93"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A9A984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7D1368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7B3A6E4" w14:textId="77777777" w:rsidTr="00E776C5">
        <w:tc>
          <w:tcPr>
            <w:tcW w:w="1271" w:type="dxa"/>
            <w:tcMar>
              <w:top w:w="40" w:type="dxa"/>
              <w:left w:w="80" w:type="dxa"/>
              <w:bottom w:w="40" w:type="dxa"/>
              <w:right w:w="80" w:type="dxa"/>
            </w:tcMar>
            <w:vAlign w:val="center"/>
          </w:tcPr>
          <w:p w14:paraId="65C1370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3.2.4.3</w:t>
            </w:r>
          </w:p>
        </w:tc>
        <w:tc>
          <w:tcPr>
            <w:tcW w:w="5103" w:type="dxa"/>
            <w:tcMar>
              <w:top w:w="40" w:type="dxa"/>
              <w:left w:w="80" w:type="dxa"/>
              <w:bottom w:w="40" w:type="dxa"/>
              <w:right w:w="80" w:type="dxa"/>
            </w:tcMar>
            <w:vAlign w:val="center"/>
          </w:tcPr>
          <w:p w14:paraId="4068348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2.1.5 – Longrines BA C25/30 de redressement ou de liaison</w:t>
            </w:r>
          </w:p>
          <w:p w14:paraId="78B3C8A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Selon portées et descentes de charges du BET ; longrines de fondations portant le plancher bas et formant diaphragme (note sismique).</w:t>
            </w:r>
          </w:p>
        </w:tc>
        <w:tc>
          <w:tcPr>
            <w:tcW w:w="688" w:type="dxa"/>
            <w:tcMar>
              <w:top w:w="40" w:type="dxa"/>
              <w:left w:w="80" w:type="dxa"/>
              <w:bottom w:w="40" w:type="dxa"/>
              <w:right w:w="80" w:type="dxa"/>
            </w:tcMar>
            <w:vAlign w:val="center"/>
          </w:tcPr>
          <w:p w14:paraId="24249B1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2B5D6EE2"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A73A52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194775C"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8613FC5" w14:textId="77777777" w:rsidTr="00E776C5">
        <w:tc>
          <w:tcPr>
            <w:tcW w:w="1271" w:type="dxa"/>
            <w:tcMar>
              <w:top w:w="40" w:type="dxa"/>
              <w:left w:w="80" w:type="dxa"/>
              <w:bottom w:w="40" w:type="dxa"/>
              <w:right w:w="80" w:type="dxa"/>
            </w:tcMar>
            <w:vAlign w:val="center"/>
          </w:tcPr>
          <w:p w14:paraId="0216419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3.2.4.3</w:t>
            </w:r>
          </w:p>
        </w:tc>
        <w:tc>
          <w:tcPr>
            <w:tcW w:w="5103" w:type="dxa"/>
            <w:tcMar>
              <w:top w:w="40" w:type="dxa"/>
              <w:left w:w="80" w:type="dxa"/>
              <w:bottom w:w="40" w:type="dxa"/>
              <w:right w:w="80" w:type="dxa"/>
            </w:tcMar>
            <w:vAlign w:val="center"/>
          </w:tcPr>
          <w:p w14:paraId="2ADEE4B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2.1.6 – Coupure de capillarité et joints de désolidarisation</w:t>
            </w:r>
          </w:p>
          <w:p w14:paraId="43FA314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Arase hydrofuge ou membrane bitumineuse sous élévations ; joints de désolidarisation entre parties différemment chargées et au contact de l’existant ; joint de dilatation de 4 cm entre l’extension et le bâtiment existant (note sismique).</w:t>
            </w:r>
          </w:p>
        </w:tc>
        <w:tc>
          <w:tcPr>
            <w:tcW w:w="688" w:type="dxa"/>
            <w:tcMar>
              <w:top w:w="40" w:type="dxa"/>
              <w:left w:w="80" w:type="dxa"/>
              <w:bottom w:w="40" w:type="dxa"/>
              <w:right w:w="80" w:type="dxa"/>
            </w:tcMar>
            <w:vAlign w:val="center"/>
          </w:tcPr>
          <w:p w14:paraId="704162F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177F307F"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5742E9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52CF28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EED1D7B" w14:textId="77777777" w:rsidTr="00E776C5">
        <w:tc>
          <w:tcPr>
            <w:tcW w:w="1271" w:type="dxa"/>
            <w:tcMar>
              <w:top w:w="40" w:type="dxa"/>
              <w:left w:w="80" w:type="dxa"/>
              <w:bottom w:w="40" w:type="dxa"/>
              <w:right w:w="80" w:type="dxa"/>
            </w:tcMar>
            <w:vAlign w:val="center"/>
          </w:tcPr>
          <w:p w14:paraId="05D845C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3.2.4.4</w:t>
            </w:r>
          </w:p>
        </w:tc>
        <w:tc>
          <w:tcPr>
            <w:tcW w:w="5103" w:type="dxa"/>
            <w:tcMar>
              <w:top w:w="40" w:type="dxa"/>
              <w:left w:w="80" w:type="dxa"/>
              <w:bottom w:w="40" w:type="dxa"/>
              <w:right w:w="80" w:type="dxa"/>
            </w:tcMar>
            <w:vAlign w:val="center"/>
          </w:tcPr>
          <w:p w14:paraId="54F9BBA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2.1.7 – Reprises en sous-œuvre et précautions vis-à-vis des existants</w:t>
            </w:r>
          </w:p>
          <w:p w14:paraId="0BA0159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Dispositions au droit du mur Nord existant (semelle maçonnée à ≈ 0,65 m/TA) : pente maxi 3h/1v entre assises (zone sismique 3), règle des redents 3l/1h, soutènements provisoires ou reprises en sous-œuvre à défaut, vérification de compatibilité des surcharges, fouilles en bordure d’existants avec limitation des vibrations ; diagnostic de structure et référé préventif (constat contradictoire) avant démarrage.</w:t>
            </w:r>
          </w:p>
        </w:tc>
        <w:tc>
          <w:tcPr>
            <w:tcW w:w="688" w:type="dxa"/>
            <w:tcMar>
              <w:top w:w="40" w:type="dxa"/>
              <w:left w:w="80" w:type="dxa"/>
              <w:bottom w:w="40" w:type="dxa"/>
              <w:right w:w="80" w:type="dxa"/>
            </w:tcMar>
            <w:vAlign w:val="center"/>
          </w:tcPr>
          <w:p w14:paraId="1769E0C2"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53E03935"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BFF9213"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693CB59"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078BB27" w14:textId="77777777" w:rsidTr="00E776C5">
        <w:tc>
          <w:tcPr>
            <w:tcW w:w="1271" w:type="dxa"/>
            <w:tcMar>
              <w:top w:w="40" w:type="dxa"/>
              <w:left w:w="80" w:type="dxa"/>
              <w:bottom w:w="40" w:type="dxa"/>
              <w:right w:w="80" w:type="dxa"/>
            </w:tcMar>
            <w:vAlign w:val="center"/>
          </w:tcPr>
          <w:p w14:paraId="0990ACD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3.2.4.5</w:t>
            </w:r>
          </w:p>
        </w:tc>
        <w:tc>
          <w:tcPr>
            <w:tcW w:w="5103" w:type="dxa"/>
            <w:tcMar>
              <w:top w:w="40" w:type="dxa"/>
              <w:left w:w="80" w:type="dxa"/>
              <w:bottom w:w="40" w:type="dxa"/>
              <w:right w:w="80" w:type="dxa"/>
            </w:tcMar>
            <w:vAlign w:val="center"/>
          </w:tcPr>
          <w:p w14:paraId="0E4252B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2.1.8 – Plancher bas de l’extension – dallage BA ép. 22 cm</w:t>
            </w:r>
          </w:p>
          <w:p w14:paraId="216C4EA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Dallage sur terre-plein conforme au DTU 13.3, surcharge d’exploitation 450 kg/m² : film polyéthylène anti-capillarité ≥ 200 µm à joints recouverts, béton C25/30 XC2, épaisseur 0,22 m (plancher porté par les longrines formant diaphragme), treillis soudé type ST25C ou selon note de calcul, tolérance de planéité 5 mm sous la règle de 2 m, joints de retrait sciés selon calepinage et joints de désolidarisation périphériques ; tassements attendus &lt; 0,5 cm.</w:t>
            </w:r>
          </w:p>
        </w:tc>
        <w:tc>
          <w:tcPr>
            <w:tcW w:w="688" w:type="dxa"/>
            <w:tcMar>
              <w:top w:w="40" w:type="dxa"/>
              <w:left w:w="80" w:type="dxa"/>
              <w:bottom w:w="40" w:type="dxa"/>
              <w:right w:w="80" w:type="dxa"/>
            </w:tcMar>
            <w:vAlign w:val="center"/>
          </w:tcPr>
          <w:p w14:paraId="53127FD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07C00C4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DA445E7"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21A92A6"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1615A0D" w14:textId="77777777" w:rsidTr="00E776C5">
        <w:tc>
          <w:tcPr>
            <w:tcW w:w="1271" w:type="dxa"/>
            <w:tcMar>
              <w:top w:w="40" w:type="dxa"/>
              <w:left w:w="80" w:type="dxa"/>
              <w:bottom w:w="40" w:type="dxa"/>
              <w:right w:w="80" w:type="dxa"/>
            </w:tcMar>
            <w:vAlign w:val="center"/>
          </w:tcPr>
          <w:p w14:paraId="12B0A0A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3.2.4.6</w:t>
            </w:r>
          </w:p>
        </w:tc>
        <w:tc>
          <w:tcPr>
            <w:tcW w:w="5103" w:type="dxa"/>
            <w:tcMar>
              <w:top w:w="40" w:type="dxa"/>
              <w:left w:w="80" w:type="dxa"/>
              <w:bottom w:w="40" w:type="dxa"/>
              <w:right w:w="80" w:type="dxa"/>
            </w:tcMar>
            <w:vAlign w:val="center"/>
          </w:tcPr>
          <w:p w14:paraId="1D0F3C0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2.1.9 – Élévations en maçonnerie de blocs B40 ép. 20 cm – murs porteurs périphériques</w:t>
            </w:r>
          </w:p>
          <w:p w14:paraId="6C7F5FF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Blocs béton creux ou pleins NF EN 771-3 classe B40 (Rc ≥ 4 MPa) montés à joints pleins 10-15 mm au mortier bâtard ou performanciel NF EN 998-2, harpage aux angles, planelles de rive et blocs d’about, traitement des ponts thermiques (rupteurs ou dispositions équivalentes RE2020), réservations et fourreaux incorporés en coordination avec le lot technique, tolérances DTU 20.1 ; murs de façades assurant le contreventement (note sismique, dimensionnement Eurocode 8, zone 3, catégorie II).</w:t>
            </w:r>
          </w:p>
        </w:tc>
        <w:tc>
          <w:tcPr>
            <w:tcW w:w="688" w:type="dxa"/>
            <w:tcMar>
              <w:top w:w="40" w:type="dxa"/>
              <w:left w:w="80" w:type="dxa"/>
              <w:bottom w:w="40" w:type="dxa"/>
              <w:right w:w="80" w:type="dxa"/>
            </w:tcMar>
            <w:vAlign w:val="center"/>
          </w:tcPr>
          <w:p w14:paraId="6D925F9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236B5A9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87E0D4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6CFEA6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92C8F16" w14:textId="77777777" w:rsidTr="00E776C5">
        <w:tc>
          <w:tcPr>
            <w:tcW w:w="1271" w:type="dxa"/>
            <w:tcMar>
              <w:top w:w="40" w:type="dxa"/>
              <w:left w:w="80" w:type="dxa"/>
              <w:bottom w:w="40" w:type="dxa"/>
              <w:right w:w="80" w:type="dxa"/>
            </w:tcMar>
            <w:vAlign w:val="center"/>
          </w:tcPr>
          <w:p w14:paraId="7EC8614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3.2.4.6</w:t>
            </w:r>
          </w:p>
        </w:tc>
        <w:tc>
          <w:tcPr>
            <w:tcW w:w="5103" w:type="dxa"/>
            <w:tcMar>
              <w:top w:w="40" w:type="dxa"/>
              <w:left w:w="80" w:type="dxa"/>
              <w:bottom w:w="40" w:type="dxa"/>
              <w:right w:w="80" w:type="dxa"/>
            </w:tcMar>
            <w:vAlign w:val="center"/>
          </w:tcPr>
          <w:p w14:paraId="68483E8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2.1.10 – Refends en blocs B40 ép. 15/20 cm</w:t>
            </w:r>
          </w:p>
          <w:p w14:paraId="369480C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Idem article 2.1.9 pour les refends intérieurs porteurs.</w:t>
            </w:r>
          </w:p>
        </w:tc>
        <w:tc>
          <w:tcPr>
            <w:tcW w:w="688" w:type="dxa"/>
            <w:tcMar>
              <w:top w:w="40" w:type="dxa"/>
              <w:left w:w="80" w:type="dxa"/>
              <w:bottom w:w="40" w:type="dxa"/>
              <w:right w:w="80" w:type="dxa"/>
            </w:tcMar>
            <w:vAlign w:val="center"/>
          </w:tcPr>
          <w:p w14:paraId="7A1C950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358D0AE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EE7002C"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EFE9F27"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AC9D8FF" w14:textId="77777777" w:rsidTr="00E776C5">
        <w:tc>
          <w:tcPr>
            <w:tcW w:w="1271" w:type="dxa"/>
            <w:tcMar>
              <w:top w:w="40" w:type="dxa"/>
              <w:left w:w="80" w:type="dxa"/>
              <w:bottom w:w="40" w:type="dxa"/>
              <w:right w:w="80" w:type="dxa"/>
            </w:tcMar>
            <w:vAlign w:val="center"/>
          </w:tcPr>
          <w:p w14:paraId="0D79F27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3.2.4.6 / 3.2.4.8</w:t>
            </w:r>
          </w:p>
        </w:tc>
        <w:tc>
          <w:tcPr>
            <w:tcW w:w="5103" w:type="dxa"/>
            <w:tcMar>
              <w:top w:w="40" w:type="dxa"/>
              <w:left w:w="80" w:type="dxa"/>
              <w:bottom w:w="40" w:type="dxa"/>
              <w:right w:w="80" w:type="dxa"/>
            </w:tcMar>
            <w:vAlign w:val="center"/>
          </w:tcPr>
          <w:p w14:paraId="1A57B74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2.1.11 – Chaînages horizontaux et verticaux, raidisseurs</w:t>
            </w:r>
          </w:p>
          <w:p w14:paraId="321E851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Chaînages horizontaux (arases, planchers, couronnement) et verticaux (angles, croisements, de part et d’autre des ouvertures) en BA C25/30, armatures HA B500B selon note de calcul, raidisseurs verticaux ; chaînages haut et bas continus, liaisonnement des angles et refends.</w:t>
            </w:r>
          </w:p>
        </w:tc>
        <w:tc>
          <w:tcPr>
            <w:tcW w:w="688" w:type="dxa"/>
            <w:tcMar>
              <w:top w:w="40" w:type="dxa"/>
              <w:left w:w="80" w:type="dxa"/>
              <w:bottom w:w="40" w:type="dxa"/>
              <w:right w:w="80" w:type="dxa"/>
            </w:tcMar>
            <w:vAlign w:val="center"/>
          </w:tcPr>
          <w:p w14:paraId="57E4B7F1"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7C718AAA"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AE18E1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A15361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87BABF5" w14:textId="77777777" w:rsidTr="00E776C5">
        <w:tc>
          <w:tcPr>
            <w:tcW w:w="1271" w:type="dxa"/>
            <w:tcMar>
              <w:top w:w="40" w:type="dxa"/>
              <w:left w:w="80" w:type="dxa"/>
              <w:bottom w:w="40" w:type="dxa"/>
              <w:right w:w="80" w:type="dxa"/>
            </w:tcMar>
            <w:vAlign w:val="center"/>
          </w:tcPr>
          <w:p w14:paraId="7C9655A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3.2.4.7</w:t>
            </w:r>
          </w:p>
        </w:tc>
        <w:tc>
          <w:tcPr>
            <w:tcW w:w="5103" w:type="dxa"/>
            <w:tcMar>
              <w:top w:w="40" w:type="dxa"/>
              <w:left w:w="80" w:type="dxa"/>
              <w:bottom w:w="40" w:type="dxa"/>
              <w:right w:w="80" w:type="dxa"/>
            </w:tcMar>
            <w:vAlign w:val="center"/>
          </w:tcPr>
          <w:p w14:paraId="2E6199A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2.1.12 – Plancher haut RDC – dalle d’étage BA ép. 22 cm</w:t>
            </w:r>
          </w:p>
          <w:p w14:paraId="715154C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Dalle pleine coulée en place ou plancher poutrelles-hourdis avec dalle de compression ≥ 5 cm armée de treillis soudé, au choix justifié du BET ; étaiement DTU 21, coffrage périphérique, décoffrage ≥ 21 jours, incorporation des fourreaux, réservations et trémies (VMC, gaines, évacuations) en coordination avec les lots techniques, vérification des flèches EC2, cure et protection contre la dessiccation ; épaisseur 0,22 m, porté par les murs des 4 façades dont une sur joint de dilatation (diaphragme).</w:t>
            </w:r>
          </w:p>
        </w:tc>
        <w:tc>
          <w:tcPr>
            <w:tcW w:w="688" w:type="dxa"/>
            <w:tcMar>
              <w:top w:w="40" w:type="dxa"/>
              <w:left w:w="80" w:type="dxa"/>
              <w:bottom w:w="40" w:type="dxa"/>
              <w:right w:w="80" w:type="dxa"/>
            </w:tcMar>
            <w:vAlign w:val="center"/>
          </w:tcPr>
          <w:p w14:paraId="582ECC8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16686C46"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F0E732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8636739"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259C93F" w14:textId="77777777" w:rsidTr="00E776C5">
        <w:tc>
          <w:tcPr>
            <w:tcW w:w="1271" w:type="dxa"/>
            <w:tcMar>
              <w:top w:w="40" w:type="dxa"/>
              <w:left w:w="80" w:type="dxa"/>
              <w:bottom w:w="40" w:type="dxa"/>
              <w:right w:w="80" w:type="dxa"/>
            </w:tcMar>
            <w:vAlign w:val="center"/>
          </w:tcPr>
          <w:p w14:paraId="0B809CF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3.2.4.7</w:t>
            </w:r>
          </w:p>
        </w:tc>
        <w:tc>
          <w:tcPr>
            <w:tcW w:w="5103" w:type="dxa"/>
            <w:tcMar>
              <w:top w:w="40" w:type="dxa"/>
              <w:left w:w="80" w:type="dxa"/>
              <w:bottom w:w="40" w:type="dxa"/>
              <w:right w:w="80" w:type="dxa"/>
            </w:tcMar>
            <w:vAlign w:val="center"/>
          </w:tcPr>
          <w:p w14:paraId="601263B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2.1.13 – Plancher haut de l’étage – dalle support d’étanchéité</w:t>
            </w:r>
          </w:p>
          <w:p w14:paraId="3C88D90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Dalle BA de couverture de l’extension (élément porteur maçonnerie DTU 20.12) y compris forme de pente 1,5 à 2 % vers les évacuations sans contre-pente (coordination section technique 3), acrotères périphériques BA, réservations et trémies.</w:t>
            </w:r>
          </w:p>
        </w:tc>
        <w:tc>
          <w:tcPr>
            <w:tcW w:w="688" w:type="dxa"/>
            <w:tcMar>
              <w:top w:w="40" w:type="dxa"/>
              <w:left w:w="80" w:type="dxa"/>
              <w:bottom w:w="40" w:type="dxa"/>
              <w:right w:w="80" w:type="dxa"/>
            </w:tcMar>
            <w:vAlign w:val="center"/>
          </w:tcPr>
          <w:p w14:paraId="68FA77B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6BCFC50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CC7838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D0E8D91"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5330DD8" w14:textId="77777777" w:rsidTr="00E776C5">
        <w:tc>
          <w:tcPr>
            <w:tcW w:w="1271" w:type="dxa"/>
            <w:tcMar>
              <w:top w:w="40" w:type="dxa"/>
              <w:left w:w="80" w:type="dxa"/>
              <w:bottom w:w="40" w:type="dxa"/>
              <w:right w:w="80" w:type="dxa"/>
            </w:tcMar>
            <w:vAlign w:val="center"/>
          </w:tcPr>
          <w:p w14:paraId="698A39F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3.2.4.8</w:t>
            </w:r>
          </w:p>
        </w:tc>
        <w:tc>
          <w:tcPr>
            <w:tcW w:w="5103" w:type="dxa"/>
            <w:tcMar>
              <w:top w:w="40" w:type="dxa"/>
              <w:left w:w="80" w:type="dxa"/>
              <w:bottom w:w="40" w:type="dxa"/>
              <w:right w:w="80" w:type="dxa"/>
            </w:tcMar>
            <w:vAlign w:val="center"/>
          </w:tcPr>
          <w:p w14:paraId="76DFC9B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2.1.14 – Linteaux BA</w:t>
            </w:r>
          </w:p>
          <w:p w14:paraId="024B83A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Préfabriqués ou coulés en place selon portées, appui minimal 20 cm, reprise de charge contrôlée pour les baies &gt; 1,40 m.</w:t>
            </w:r>
          </w:p>
        </w:tc>
        <w:tc>
          <w:tcPr>
            <w:tcW w:w="688" w:type="dxa"/>
            <w:tcMar>
              <w:top w:w="40" w:type="dxa"/>
              <w:left w:w="80" w:type="dxa"/>
              <w:bottom w:w="40" w:type="dxa"/>
              <w:right w:w="80" w:type="dxa"/>
            </w:tcMar>
            <w:vAlign w:val="center"/>
          </w:tcPr>
          <w:p w14:paraId="26053F8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3262226A"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9CF1239"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7FB0D1F"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68970E4" w14:textId="77777777" w:rsidTr="00E776C5">
        <w:tc>
          <w:tcPr>
            <w:tcW w:w="1271" w:type="dxa"/>
            <w:tcMar>
              <w:top w:w="40" w:type="dxa"/>
              <w:left w:w="80" w:type="dxa"/>
              <w:bottom w:w="40" w:type="dxa"/>
              <w:right w:w="80" w:type="dxa"/>
            </w:tcMar>
            <w:vAlign w:val="center"/>
          </w:tcPr>
          <w:p w14:paraId="62A6D80E"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3.2.4.8</w:t>
            </w:r>
          </w:p>
        </w:tc>
        <w:tc>
          <w:tcPr>
            <w:tcW w:w="5103" w:type="dxa"/>
            <w:tcMar>
              <w:top w:w="40" w:type="dxa"/>
              <w:left w:w="80" w:type="dxa"/>
              <w:bottom w:w="40" w:type="dxa"/>
              <w:right w:w="80" w:type="dxa"/>
            </w:tcMar>
            <w:vAlign w:val="center"/>
          </w:tcPr>
          <w:p w14:paraId="35BB80F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2.1.15 – Appuis de fenêtres</w:t>
            </w:r>
          </w:p>
          <w:p w14:paraId="754EF1B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Béton ou pierre reconstituée, pente d’écoulement ≥ 5 %, débordement et goutte d’eau (rejingot).</w:t>
            </w:r>
          </w:p>
        </w:tc>
        <w:tc>
          <w:tcPr>
            <w:tcW w:w="688" w:type="dxa"/>
            <w:tcMar>
              <w:top w:w="40" w:type="dxa"/>
              <w:left w:w="80" w:type="dxa"/>
              <w:bottom w:w="40" w:type="dxa"/>
              <w:right w:w="80" w:type="dxa"/>
            </w:tcMar>
            <w:vAlign w:val="center"/>
          </w:tcPr>
          <w:p w14:paraId="709D15C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555A95E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F362B9F"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C341EAC"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BF08C71" w14:textId="77777777" w:rsidTr="00E776C5">
        <w:tc>
          <w:tcPr>
            <w:tcW w:w="1271" w:type="dxa"/>
            <w:tcMar>
              <w:top w:w="40" w:type="dxa"/>
              <w:left w:w="80" w:type="dxa"/>
              <w:bottom w:w="40" w:type="dxa"/>
              <w:right w:w="80" w:type="dxa"/>
            </w:tcMar>
            <w:vAlign w:val="center"/>
          </w:tcPr>
          <w:p w14:paraId="41BCD4D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3.2.4.8</w:t>
            </w:r>
          </w:p>
        </w:tc>
        <w:tc>
          <w:tcPr>
            <w:tcW w:w="5103" w:type="dxa"/>
            <w:tcMar>
              <w:top w:w="40" w:type="dxa"/>
              <w:left w:w="80" w:type="dxa"/>
              <w:bottom w:w="40" w:type="dxa"/>
              <w:right w:w="80" w:type="dxa"/>
            </w:tcMar>
            <w:vAlign w:val="center"/>
          </w:tcPr>
          <w:p w14:paraId="043CFE5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2.1.16 – Seuils PMR</w:t>
            </w:r>
          </w:p>
          <w:p w14:paraId="32F5193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Ressaut maximal 2 cm, intégrés au complexe d’étanchéité, adaptés au cheminement accessible (rampe PMR du bâtiment 87).</w:t>
            </w:r>
          </w:p>
        </w:tc>
        <w:tc>
          <w:tcPr>
            <w:tcW w:w="688" w:type="dxa"/>
            <w:tcMar>
              <w:top w:w="40" w:type="dxa"/>
              <w:left w:w="80" w:type="dxa"/>
              <w:bottom w:w="40" w:type="dxa"/>
              <w:right w:w="80" w:type="dxa"/>
            </w:tcMar>
            <w:vAlign w:val="center"/>
          </w:tcPr>
          <w:p w14:paraId="7FD5C1E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467D849A"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854EA2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CA89F35"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E94A1F8" w14:textId="77777777" w:rsidTr="00E776C5">
        <w:tc>
          <w:tcPr>
            <w:tcW w:w="1271" w:type="dxa"/>
            <w:tcMar>
              <w:top w:w="40" w:type="dxa"/>
              <w:left w:w="80" w:type="dxa"/>
              <w:bottom w:w="40" w:type="dxa"/>
              <w:right w:w="80" w:type="dxa"/>
            </w:tcMar>
            <w:vAlign w:val="center"/>
          </w:tcPr>
          <w:p w14:paraId="5648C33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3.2.4.9</w:t>
            </w:r>
          </w:p>
        </w:tc>
        <w:tc>
          <w:tcPr>
            <w:tcW w:w="5103" w:type="dxa"/>
            <w:tcMar>
              <w:top w:w="40" w:type="dxa"/>
              <w:left w:w="80" w:type="dxa"/>
              <w:bottom w:w="40" w:type="dxa"/>
              <w:right w:w="80" w:type="dxa"/>
            </w:tcMar>
            <w:vAlign w:val="center"/>
          </w:tcPr>
          <w:p w14:paraId="4076BC2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2.1.17 – Socle béton de l’escalier extérieur métallique (façade Nord) et palier</w:t>
            </w:r>
          </w:p>
          <w:p w14:paraId="261BDD9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Socle / plots BA (3 marches) dimensionnés pour reprendre les descentes de charges de l’escalier, platines et tiges d’ancrage à sceller (coordination section technique 4), palier béton au 1er niveau ; C25/30 XC4/XF1, enrobage 4 cm.</w:t>
            </w:r>
          </w:p>
        </w:tc>
        <w:tc>
          <w:tcPr>
            <w:tcW w:w="688" w:type="dxa"/>
            <w:tcMar>
              <w:top w:w="40" w:type="dxa"/>
              <w:left w:w="80" w:type="dxa"/>
              <w:bottom w:w="40" w:type="dxa"/>
              <w:right w:w="80" w:type="dxa"/>
            </w:tcMar>
            <w:vAlign w:val="center"/>
          </w:tcPr>
          <w:p w14:paraId="1611762D"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36EF614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873E532"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12C6111"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EC65BAE" w14:textId="77777777" w:rsidTr="00E776C5">
        <w:tc>
          <w:tcPr>
            <w:tcW w:w="1271" w:type="dxa"/>
            <w:tcMar>
              <w:top w:w="40" w:type="dxa"/>
              <w:left w:w="80" w:type="dxa"/>
              <w:bottom w:w="40" w:type="dxa"/>
              <w:right w:w="80" w:type="dxa"/>
            </w:tcMar>
            <w:vAlign w:val="center"/>
          </w:tcPr>
          <w:p w14:paraId="771663E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3.2.4.9</w:t>
            </w:r>
          </w:p>
        </w:tc>
        <w:tc>
          <w:tcPr>
            <w:tcW w:w="5103" w:type="dxa"/>
            <w:tcMar>
              <w:top w:w="40" w:type="dxa"/>
              <w:left w:w="80" w:type="dxa"/>
              <w:bottom w:w="40" w:type="dxa"/>
              <w:right w:w="80" w:type="dxa"/>
            </w:tcMar>
            <w:vAlign w:val="center"/>
          </w:tcPr>
          <w:p w14:paraId="3104B48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2.1.18 – Socles de douches et formes de pente des locaux humides – bâtiment H</w:t>
            </w:r>
          </w:p>
          <w:p w14:paraId="1C8F27E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Socles BA et formes de pente des sanitaires / douches du bâtiment H (sanitaires chambres 3-4 et 8-9 des deux ailes, douche homme, douche femme), surfaces conformes aux plans « réflexion sanitaire et douche ».</w:t>
            </w:r>
          </w:p>
        </w:tc>
        <w:tc>
          <w:tcPr>
            <w:tcW w:w="688" w:type="dxa"/>
            <w:tcMar>
              <w:top w:w="40" w:type="dxa"/>
              <w:left w:w="80" w:type="dxa"/>
              <w:bottom w:w="40" w:type="dxa"/>
              <w:right w:w="80" w:type="dxa"/>
            </w:tcMar>
            <w:vAlign w:val="center"/>
          </w:tcPr>
          <w:p w14:paraId="3AFB19A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4E1490E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60801A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C352B2D"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5CC7AFF" w14:textId="77777777" w:rsidTr="00E776C5">
        <w:tc>
          <w:tcPr>
            <w:tcW w:w="1271" w:type="dxa"/>
            <w:tcMar>
              <w:top w:w="40" w:type="dxa"/>
              <w:left w:w="80" w:type="dxa"/>
              <w:bottom w:w="40" w:type="dxa"/>
              <w:right w:w="80" w:type="dxa"/>
            </w:tcMar>
            <w:vAlign w:val="center"/>
          </w:tcPr>
          <w:p w14:paraId="3AB7DF4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3.2.4.9</w:t>
            </w:r>
          </w:p>
        </w:tc>
        <w:tc>
          <w:tcPr>
            <w:tcW w:w="5103" w:type="dxa"/>
            <w:tcMar>
              <w:top w:w="40" w:type="dxa"/>
              <w:left w:w="80" w:type="dxa"/>
              <w:bottom w:w="40" w:type="dxa"/>
              <w:right w:w="80" w:type="dxa"/>
            </w:tcMar>
            <w:vAlign w:val="center"/>
          </w:tcPr>
          <w:p w14:paraId="3AFD820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2.1.19 – Rampes PMR et emmarchements extérieurs</w:t>
            </w:r>
          </w:p>
          <w:p w14:paraId="2A73361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En béton armé, surface antidérapante, pentes conformes à l’arrêté du 20 avril 2017 (≤ 5 %, paliers de repos) : rampe PMR du bâtiment 087 (façade nord) et création d’une rampe au bâtiment H (cf. plans état futur).</w:t>
            </w:r>
          </w:p>
        </w:tc>
        <w:tc>
          <w:tcPr>
            <w:tcW w:w="688" w:type="dxa"/>
            <w:tcMar>
              <w:top w:w="40" w:type="dxa"/>
              <w:left w:w="80" w:type="dxa"/>
              <w:bottom w:w="40" w:type="dxa"/>
              <w:right w:w="80" w:type="dxa"/>
            </w:tcMar>
            <w:vAlign w:val="center"/>
          </w:tcPr>
          <w:p w14:paraId="20EE01FE"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65CF429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B3B7CF7"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435FA35"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B9622CF" w14:textId="77777777" w:rsidTr="00E776C5">
        <w:tc>
          <w:tcPr>
            <w:tcW w:w="1271" w:type="dxa"/>
            <w:tcMar>
              <w:top w:w="40" w:type="dxa"/>
              <w:left w:w="80" w:type="dxa"/>
              <w:bottom w:w="40" w:type="dxa"/>
              <w:right w:w="80" w:type="dxa"/>
            </w:tcMar>
            <w:vAlign w:val="center"/>
          </w:tcPr>
          <w:p w14:paraId="40978E3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3.2.4.9</w:t>
            </w:r>
          </w:p>
        </w:tc>
        <w:tc>
          <w:tcPr>
            <w:tcW w:w="5103" w:type="dxa"/>
            <w:tcMar>
              <w:top w:w="40" w:type="dxa"/>
              <w:left w:w="80" w:type="dxa"/>
              <w:bottom w:w="40" w:type="dxa"/>
              <w:right w:w="80" w:type="dxa"/>
            </w:tcMar>
            <w:vAlign w:val="center"/>
          </w:tcPr>
          <w:p w14:paraId="1138688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2.1.20 – Dalles extérieures et intérieures – bâtiments H et 087</w:t>
            </w:r>
          </w:p>
          <w:p w14:paraId="3C0F60A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Bande de dalle béton extérieure le long du bâtiment H (largeur 1,20 m, sur plateforme préparée à l’article 1.5.2), dalle intérieure du couloir du bâtiment H (≈ 16,5 m²), surfaces à bétonner figurant aux plans (accès, seuils extérieurs), dalle intérieure et seuil du local de stockage extérieur du bâtiment 87 ; C25/30, finitions adaptées.</w:t>
            </w:r>
          </w:p>
        </w:tc>
        <w:tc>
          <w:tcPr>
            <w:tcW w:w="688" w:type="dxa"/>
            <w:tcMar>
              <w:top w:w="40" w:type="dxa"/>
              <w:left w:w="80" w:type="dxa"/>
              <w:bottom w:w="40" w:type="dxa"/>
              <w:right w:w="80" w:type="dxa"/>
            </w:tcMar>
            <w:vAlign w:val="center"/>
          </w:tcPr>
          <w:p w14:paraId="34FCD84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630269FE"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EA930A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BBD6344"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3304001" w14:textId="77777777" w:rsidTr="00E776C5">
        <w:tc>
          <w:tcPr>
            <w:tcW w:w="1271" w:type="dxa"/>
            <w:tcMar>
              <w:top w:w="40" w:type="dxa"/>
              <w:left w:w="80" w:type="dxa"/>
              <w:bottom w:w="40" w:type="dxa"/>
              <w:right w:w="80" w:type="dxa"/>
            </w:tcMar>
            <w:vAlign w:val="center"/>
          </w:tcPr>
          <w:p w14:paraId="29C249D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3.2.4.9</w:t>
            </w:r>
          </w:p>
        </w:tc>
        <w:tc>
          <w:tcPr>
            <w:tcW w:w="5103" w:type="dxa"/>
            <w:tcMar>
              <w:top w:w="40" w:type="dxa"/>
              <w:left w:w="80" w:type="dxa"/>
              <w:bottom w:w="40" w:type="dxa"/>
              <w:right w:w="80" w:type="dxa"/>
            </w:tcMar>
            <w:vAlign w:val="center"/>
          </w:tcPr>
          <w:p w14:paraId="1D96E95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2.1.21 – Massifs et plots béton divers</w:t>
            </w:r>
          </w:p>
          <w:p w14:paraId="41825F3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Massifs et plots nécessaires aux aménagements des bâtiments 087 et H.</w:t>
            </w:r>
          </w:p>
        </w:tc>
        <w:tc>
          <w:tcPr>
            <w:tcW w:w="688" w:type="dxa"/>
            <w:tcMar>
              <w:top w:w="40" w:type="dxa"/>
              <w:left w:w="80" w:type="dxa"/>
              <w:bottom w:w="40" w:type="dxa"/>
              <w:right w:w="80" w:type="dxa"/>
            </w:tcMar>
            <w:vAlign w:val="center"/>
          </w:tcPr>
          <w:p w14:paraId="418C5637"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3FD45884"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054A64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A7CDCD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8619F4F" w14:textId="77777777" w:rsidTr="00E776C5">
        <w:tc>
          <w:tcPr>
            <w:tcW w:w="1271" w:type="dxa"/>
            <w:tcMar>
              <w:top w:w="40" w:type="dxa"/>
              <w:left w:w="80" w:type="dxa"/>
              <w:bottom w:w="40" w:type="dxa"/>
              <w:right w:w="80" w:type="dxa"/>
            </w:tcMar>
            <w:vAlign w:val="center"/>
          </w:tcPr>
          <w:p w14:paraId="6D14266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3.2.4.10</w:t>
            </w:r>
          </w:p>
        </w:tc>
        <w:tc>
          <w:tcPr>
            <w:tcW w:w="5103" w:type="dxa"/>
            <w:tcMar>
              <w:top w:w="40" w:type="dxa"/>
              <w:left w:w="80" w:type="dxa"/>
              <w:bottom w:w="40" w:type="dxa"/>
              <w:right w:w="80" w:type="dxa"/>
            </w:tcMar>
            <w:vAlign w:val="center"/>
          </w:tcPr>
          <w:p w14:paraId="3913090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2.1.22 – Création d’ouvertures et de passages dans murs et refends existants</w:t>
            </w:r>
          </w:p>
          <w:p w14:paraId="2A4F266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Bâtiments 087 et H (couloirs, sanitaires, salle du personnel, portes à changer) : étaiement systématique, sciage/démolition soignée, pose de linteaux de reprise, calfeutrements, évacuation des gravats ; préservation des ouvrages conservés et de la stabilité des structures.</w:t>
            </w:r>
          </w:p>
        </w:tc>
        <w:tc>
          <w:tcPr>
            <w:tcW w:w="688" w:type="dxa"/>
            <w:tcMar>
              <w:top w:w="40" w:type="dxa"/>
              <w:left w:w="80" w:type="dxa"/>
              <w:bottom w:w="40" w:type="dxa"/>
              <w:right w:w="80" w:type="dxa"/>
            </w:tcMar>
            <w:vAlign w:val="center"/>
          </w:tcPr>
          <w:p w14:paraId="3980AF0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18C7A48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E002BC8"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79C75D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F667B56" w14:textId="77777777" w:rsidTr="00E776C5">
        <w:tc>
          <w:tcPr>
            <w:tcW w:w="1271" w:type="dxa"/>
            <w:tcMar>
              <w:top w:w="40" w:type="dxa"/>
              <w:left w:w="80" w:type="dxa"/>
              <w:bottom w:w="40" w:type="dxa"/>
              <w:right w:w="80" w:type="dxa"/>
            </w:tcMar>
            <w:vAlign w:val="center"/>
          </w:tcPr>
          <w:p w14:paraId="14296A4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3.2.4.10</w:t>
            </w:r>
          </w:p>
        </w:tc>
        <w:tc>
          <w:tcPr>
            <w:tcW w:w="5103" w:type="dxa"/>
            <w:tcMar>
              <w:top w:w="40" w:type="dxa"/>
              <w:left w:w="80" w:type="dxa"/>
              <w:bottom w:w="40" w:type="dxa"/>
              <w:right w:w="80" w:type="dxa"/>
            </w:tcMar>
            <w:vAlign w:val="center"/>
          </w:tcPr>
          <w:p w14:paraId="13DDD6D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2.1.23 – Obturations d’ouvertures existantes</w:t>
            </w:r>
          </w:p>
          <w:p w14:paraId="4087DBC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Maçonnerie harpée sur l’existant, y compris raccords d’enduit (repris à la sous-section 2.2).</w:t>
            </w:r>
          </w:p>
        </w:tc>
        <w:tc>
          <w:tcPr>
            <w:tcW w:w="688" w:type="dxa"/>
            <w:tcMar>
              <w:top w:w="40" w:type="dxa"/>
              <w:left w:w="80" w:type="dxa"/>
              <w:bottom w:w="40" w:type="dxa"/>
              <w:right w:w="80" w:type="dxa"/>
            </w:tcMar>
            <w:vAlign w:val="center"/>
          </w:tcPr>
          <w:p w14:paraId="3707742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33FFD69C"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8D8DB5C"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2645D9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BA437FA" w14:textId="77777777" w:rsidTr="00E776C5">
        <w:tc>
          <w:tcPr>
            <w:tcW w:w="1271" w:type="dxa"/>
            <w:tcMar>
              <w:top w:w="40" w:type="dxa"/>
              <w:left w:w="80" w:type="dxa"/>
              <w:bottom w:w="40" w:type="dxa"/>
              <w:right w:w="80" w:type="dxa"/>
            </w:tcMar>
            <w:vAlign w:val="center"/>
          </w:tcPr>
          <w:p w14:paraId="29966F2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3.2.4.10</w:t>
            </w:r>
          </w:p>
        </w:tc>
        <w:tc>
          <w:tcPr>
            <w:tcW w:w="5103" w:type="dxa"/>
            <w:tcMar>
              <w:top w:w="40" w:type="dxa"/>
              <w:left w:w="80" w:type="dxa"/>
              <w:bottom w:w="40" w:type="dxa"/>
              <w:right w:w="80" w:type="dxa"/>
            </w:tcMar>
            <w:vAlign w:val="center"/>
          </w:tcPr>
          <w:p w14:paraId="0B330E0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2.1.24 – Trémies, percements et réservations pour réseaux</w:t>
            </w:r>
          </w:p>
          <w:p w14:paraId="40ACDFE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Réalisation des trémies (gaines techniques, VMC), percements pour traversées de réseaux, réservations dans les ouvrages existants et neufs.</w:t>
            </w:r>
          </w:p>
        </w:tc>
        <w:tc>
          <w:tcPr>
            <w:tcW w:w="688" w:type="dxa"/>
            <w:tcMar>
              <w:top w:w="40" w:type="dxa"/>
              <w:left w:w="80" w:type="dxa"/>
              <w:bottom w:w="40" w:type="dxa"/>
              <w:right w:w="80" w:type="dxa"/>
            </w:tcMar>
            <w:vAlign w:val="center"/>
          </w:tcPr>
          <w:p w14:paraId="43159853"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E817CF9"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8A4279C"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C906CA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2993D8C" w14:textId="77777777" w:rsidTr="00E776C5">
        <w:tc>
          <w:tcPr>
            <w:tcW w:w="1271" w:type="dxa"/>
            <w:tcMar>
              <w:top w:w="40" w:type="dxa"/>
              <w:left w:w="80" w:type="dxa"/>
              <w:bottom w:w="40" w:type="dxa"/>
              <w:right w:w="80" w:type="dxa"/>
            </w:tcMar>
            <w:vAlign w:val="center"/>
          </w:tcPr>
          <w:p w14:paraId="0604435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3.2.4.10</w:t>
            </w:r>
          </w:p>
        </w:tc>
        <w:tc>
          <w:tcPr>
            <w:tcW w:w="5103" w:type="dxa"/>
            <w:tcMar>
              <w:top w:w="40" w:type="dxa"/>
              <w:left w:w="80" w:type="dxa"/>
              <w:bottom w:w="40" w:type="dxa"/>
              <w:right w:w="80" w:type="dxa"/>
            </w:tcMar>
            <w:vAlign w:val="center"/>
          </w:tcPr>
          <w:p w14:paraId="6C98526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2.1.25 – Reprises diverses de maçonnerie</w:t>
            </w:r>
          </w:p>
          <w:p w14:paraId="2A9ECFB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Reprise des seuils, nez de marches, appuis de fenêtres et portes endommagés ou créés ; rebouchages, calfeutrements, scellements et raccords ; arasement et couronnement de murs le cas échéant ; reprises ponctuelles de planchers et de sols existants.</w:t>
            </w:r>
          </w:p>
        </w:tc>
        <w:tc>
          <w:tcPr>
            <w:tcW w:w="688" w:type="dxa"/>
            <w:tcMar>
              <w:top w:w="40" w:type="dxa"/>
              <w:left w:w="80" w:type="dxa"/>
              <w:bottom w:w="40" w:type="dxa"/>
              <w:right w:w="80" w:type="dxa"/>
            </w:tcMar>
            <w:vAlign w:val="center"/>
          </w:tcPr>
          <w:p w14:paraId="2992F78C"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062F7075"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4F9EDA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31E0B0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A95FBEB" w14:textId="77777777" w:rsidTr="00E776C5">
        <w:tc>
          <w:tcPr>
            <w:tcW w:w="1271" w:type="dxa"/>
            <w:tcMar>
              <w:top w:w="40" w:type="dxa"/>
              <w:left w:w="80" w:type="dxa"/>
              <w:bottom w:w="40" w:type="dxa"/>
              <w:right w:w="80" w:type="dxa"/>
            </w:tcMar>
            <w:vAlign w:val="center"/>
          </w:tcPr>
          <w:p w14:paraId="1BDAD3F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3.2.4.11 / 3.2.4.12</w:t>
            </w:r>
          </w:p>
        </w:tc>
        <w:tc>
          <w:tcPr>
            <w:tcW w:w="5103" w:type="dxa"/>
            <w:tcMar>
              <w:top w:w="40" w:type="dxa"/>
              <w:left w:w="80" w:type="dxa"/>
              <w:bottom w:w="40" w:type="dxa"/>
              <w:right w:w="80" w:type="dxa"/>
            </w:tcMar>
            <w:vAlign w:val="center"/>
          </w:tcPr>
          <w:p w14:paraId="350275B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2.1.26 – Réservations pour les autres lots, essais et contrôles</w:t>
            </w:r>
          </w:p>
          <w:p w14:paraId="3A6B805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Réservations, trous, feuillures et passages définis en temps utile par les autres lots (dues gratuitement) ; PV de conformité béton et essais sur éprouvettes si requis, contrôles de planéité, d’aplomb et de verticalité, réceptions contradictoires des supports, fourniture au DOE des plans de structure modifiée, plans de coffrage/ferraillage d’exécution et phasage. Plans d’exécution TCE à la charge du titulaire (§ 2.6).</w:t>
            </w:r>
          </w:p>
        </w:tc>
        <w:tc>
          <w:tcPr>
            <w:tcW w:w="688" w:type="dxa"/>
            <w:tcMar>
              <w:top w:w="40" w:type="dxa"/>
              <w:left w:w="80" w:type="dxa"/>
              <w:bottom w:w="40" w:type="dxa"/>
              <w:right w:w="80" w:type="dxa"/>
            </w:tcMar>
            <w:vAlign w:val="center"/>
          </w:tcPr>
          <w:p w14:paraId="49268728"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661BDA4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592B4D5"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83028B1"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1667825" w14:textId="77777777" w:rsidTr="002E467D">
        <w:tc>
          <w:tcPr>
            <w:tcW w:w="10592" w:type="dxa"/>
            <w:gridSpan w:val="6"/>
            <w:shd w:val="clear" w:color="auto" w:fill="BFBFBF"/>
            <w:tcMar>
              <w:top w:w="40" w:type="dxa"/>
              <w:left w:w="80" w:type="dxa"/>
              <w:bottom w:w="40" w:type="dxa"/>
              <w:right w:w="80" w:type="dxa"/>
            </w:tcMar>
            <w:vAlign w:val="center"/>
          </w:tcPr>
          <w:p w14:paraId="16EE5CB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2.2 – Enduit extérieur de la partie extension (CCTP § 3.2.5)</w:t>
            </w:r>
          </w:p>
        </w:tc>
      </w:tr>
      <w:tr w:rsidR="008A504A" w:rsidRPr="00211073" w14:paraId="01A943C7" w14:textId="77777777" w:rsidTr="00E776C5">
        <w:tc>
          <w:tcPr>
            <w:tcW w:w="1271" w:type="dxa"/>
            <w:tcMar>
              <w:top w:w="40" w:type="dxa"/>
              <w:left w:w="80" w:type="dxa"/>
              <w:bottom w:w="40" w:type="dxa"/>
              <w:right w:w="80" w:type="dxa"/>
            </w:tcMar>
            <w:vAlign w:val="center"/>
          </w:tcPr>
          <w:p w14:paraId="631C03B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3.2.5.2</w:t>
            </w:r>
          </w:p>
        </w:tc>
        <w:tc>
          <w:tcPr>
            <w:tcW w:w="5103" w:type="dxa"/>
            <w:tcMar>
              <w:top w:w="40" w:type="dxa"/>
              <w:left w:w="80" w:type="dxa"/>
              <w:bottom w:w="40" w:type="dxa"/>
              <w:right w:w="80" w:type="dxa"/>
            </w:tcMar>
            <w:vAlign w:val="center"/>
          </w:tcPr>
          <w:p w14:paraId="44C7B9B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2.2.1 – Préparation des supports</w:t>
            </w:r>
          </w:p>
          <w:p w14:paraId="3D2C250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Réception du support maçonné, dépoussiérage, réhumidification des supports absorbants, gobetis d’accrochage éventuel, profilés d’angle, cornières, arrêts d’enduit, mouchoirs de renfort aux angles des baies, treillis de renfort aux jonctions de matériaux hétérogènes.</w:t>
            </w:r>
          </w:p>
        </w:tc>
        <w:tc>
          <w:tcPr>
            <w:tcW w:w="688" w:type="dxa"/>
            <w:tcMar>
              <w:top w:w="40" w:type="dxa"/>
              <w:left w:w="80" w:type="dxa"/>
              <w:bottom w:w="40" w:type="dxa"/>
              <w:right w:w="80" w:type="dxa"/>
            </w:tcMar>
            <w:vAlign w:val="center"/>
          </w:tcPr>
          <w:p w14:paraId="61945F7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141E6837"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D90CA9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6B9D18F"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BEAEBB7" w14:textId="77777777" w:rsidTr="00E776C5">
        <w:tc>
          <w:tcPr>
            <w:tcW w:w="1271" w:type="dxa"/>
            <w:tcMar>
              <w:top w:w="40" w:type="dxa"/>
              <w:left w:w="80" w:type="dxa"/>
              <w:bottom w:w="40" w:type="dxa"/>
              <w:right w:w="80" w:type="dxa"/>
            </w:tcMar>
            <w:vAlign w:val="center"/>
          </w:tcPr>
          <w:p w14:paraId="5599E13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3.2.5.3</w:t>
            </w:r>
          </w:p>
        </w:tc>
        <w:tc>
          <w:tcPr>
            <w:tcW w:w="5103" w:type="dxa"/>
            <w:tcMar>
              <w:top w:w="40" w:type="dxa"/>
              <w:left w:w="80" w:type="dxa"/>
              <w:bottom w:w="40" w:type="dxa"/>
              <w:right w:w="80" w:type="dxa"/>
            </w:tcMar>
            <w:vAlign w:val="center"/>
          </w:tcPr>
          <w:p w14:paraId="0B60DB9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2.2.2 – Enduit hydraulique de façade – finition grattée fine</w:t>
            </w:r>
          </w:p>
          <w:p w14:paraId="1DD5C79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Enduit monocouche ou multicouche (gobetis, corps d’enduit, finition) à base chaux-ciment conforme au DTU 26.1, épaisseur et dressage réglementaires, temps de séchage respectés, teinte au choix du maître d’œuvre dans le nuancier du fabricant, en harmonie avec les façades existantes du bâtiment 087 ; totalité des façades de l’extension.</w:t>
            </w:r>
          </w:p>
        </w:tc>
        <w:tc>
          <w:tcPr>
            <w:tcW w:w="688" w:type="dxa"/>
            <w:tcMar>
              <w:top w:w="40" w:type="dxa"/>
              <w:left w:w="80" w:type="dxa"/>
              <w:bottom w:w="40" w:type="dxa"/>
              <w:right w:w="80" w:type="dxa"/>
            </w:tcMar>
            <w:vAlign w:val="center"/>
          </w:tcPr>
          <w:p w14:paraId="2D55BBA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4D0BBA92"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6015DE3"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D7BA80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FFD1EBB" w14:textId="77777777" w:rsidTr="00E776C5">
        <w:tc>
          <w:tcPr>
            <w:tcW w:w="1271" w:type="dxa"/>
            <w:tcMar>
              <w:top w:w="40" w:type="dxa"/>
              <w:left w:w="80" w:type="dxa"/>
              <w:bottom w:w="40" w:type="dxa"/>
              <w:right w:w="80" w:type="dxa"/>
            </w:tcMar>
            <w:vAlign w:val="center"/>
          </w:tcPr>
          <w:p w14:paraId="5E61A20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3.2.5.3</w:t>
            </w:r>
          </w:p>
        </w:tc>
        <w:tc>
          <w:tcPr>
            <w:tcW w:w="5103" w:type="dxa"/>
            <w:tcMar>
              <w:top w:w="40" w:type="dxa"/>
              <w:left w:w="80" w:type="dxa"/>
              <w:bottom w:w="40" w:type="dxa"/>
              <w:right w:w="80" w:type="dxa"/>
            </w:tcMar>
            <w:vAlign w:val="center"/>
          </w:tcPr>
          <w:p w14:paraId="6291922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2.2.3 – Trompe-l’œil et imitations pierre</w:t>
            </w:r>
          </w:p>
          <w:p w14:paraId="05A0B11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Réalisation des trompe-l’œil sur les différentes façades (dont caches-fenêtres trompe-l’œil 1600×45 et 2050×45, enduit ton terre cuite selon plans de façades) ainsi que les imitations pierre entre les deux niveaux.</w:t>
            </w:r>
          </w:p>
        </w:tc>
        <w:tc>
          <w:tcPr>
            <w:tcW w:w="688" w:type="dxa"/>
            <w:tcMar>
              <w:top w:w="40" w:type="dxa"/>
              <w:left w:w="80" w:type="dxa"/>
              <w:bottom w:w="40" w:type="dxa"/>
              <w:right w:w="80" w:type="dxa"/>
            </w:tcMar>
            <w:vAlign w:val="center"/>
          </w:tcPr>
          <w:p w14:paraId="00B5BD49"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572B406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152BA0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DB7D1EC"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AE7D425" w14:textId="77777777" w:rsidTr="00E776C5">
        <w:tc>
          <w:tcPr>
            <w:tcW w:w="1271" w:type="dxa"/>
            <w:tcMar>
              <w:top w:w="40" w:type="dxa"/>
              <w:left w:w="80" w:type="dxa"/>
              <w:bottom w:w="40" w:type="dxa"/>
              <w:right w:w="80" w:type="dxa"/>
            </w:tcMar>
            <w:vAlign w:val="center"/>
          </w:tcPr>
          <w:p w14:paraId="4C90B72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3.2.5.3</w:t>
            </w:r>
          </w:p>
        </w:tc>
        <w:tc>
          <w:tcPr>
            <w:tcW w:w="5103" w:type="dxa"/>
            <w:tcMar>
              <w:top w:w="40" w:type="dxa"/>
              <w:left w:w="80" w:type="dxa"/>
              <w:bottom w:w="40" w:type="dxa"/>
              <w:right w:w="80" w:type="dxa"/>
            </w:tcMar>
            <w:vAlign w:val="center"/>
          </w:tcPr>
          <w:p w14:paraId="66CF87D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2.2.4 – Traitement du soubassement</w:t>
            </w:r>
          </w:p>
          <w:p w14:paraId="429A5AA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Enduit hydrofuge en partie basse pour protection contre rejaillissements et remontées.</w:t>
            </w:r>
          </w:p>
        </w:tc>
        <w:tc>
          <w:tcPr>
            <w:tcW w:w="688" w:type="dxa"/>
            <w:tcMar>
              <w:top w:w="40" w:type="dxa"/>
              <w:left w:w="80" w:type="dxa"/>
              <w:bottom w:w="40" w:type="dxa"/>
              <w:right w:w="80" w:type="dxa"/>
            </w:tcMar>
            <w:vAlign w:val="center"/>
          </w:tcPr>
          <w:p w14:paraId="3694B0EE"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01546265"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D4F7E8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DB6DA7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4E5488A" w14:textId="77777777" w:rsidTr="00E776C5">
        <w:tc>
          <w:tcPr>
            <w:tcW w:w="1271" w:type="dxa"/>
            <w:tcMar>
              <w:top w:w="40" w:type="dxa"/>
              <w:left w:w="80" w:type="dxa"/>
              <w:bottom w:w="40" w:type="dxa"/>
              <w:right w:w="80" w:type="dxa"/>
            </w:tcMar>
            <w:vAlign w:val="center"/>
          </w:tcPr>
          <w:p w14:paraId="6AC2678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3.2.5.4</w:t>
            </w:r>
          </w:p>
        </w:tc>
        <w:tc>
          <w:tcPr>
            <w:tcW w:w="5103" w:type="dxa"/>
            <w:tcMar>
              <w:top w:w="40" w:type="dxa"/>
              <w:left w:w="80" w:type="dxa"/>
              <w:bottom w:w="40" w:type="dxa"/>
              <w:right w:w="80" w:type="dxa"/>
            </w:tcMar>
            <w:vAlign w:val="center"/>
          </w:tcPr>
          <w:p w14:paraId="3F0A33D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2.2.5 – Points singuliers et reprises sur existant</w:t>
            </w:r>
          </w:p>
          <w:p w14:paraId="0573360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Arêtes, cueillies, joints de dilatation, appuis et retours de tableaux, raccords soignés autour des menuiseries (coordination section technique 4) ; reprises d’enduit sur façades existantes au droit des ouvertures créées ou obturées (bâtiments H notamment), raccords de teinte et de finition pour continuité d’aspect ; protection des ouvrages voisins.</w:t>
            </w:r>
          </w:p>
        </w:tc>
        <w:tc>
          <w:tcPr>
            <w:tcW w:w="688" w:type="dxa"/>
            <w:tcMar>
              <w:top w:w="40" w:type="dxa"/>
              <w:left w:w="80" w:type="dxa"/>
              <w:bottom w:w="40" w:type="dxa"/>
              <w:right w:w="80" w:type="dxa"/>
            </w:tcMar>
            <w:vAlign w:val="center"/>
          </w:tcPr>
          <w:p w14:paraId="2FECF84C"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30FE4D35"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6E4BCA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0270B3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3FF2370" w14:textId="77777777" w:rsidTr="00E776C5">
        <w:tc>
          <w:tcPr>
            <w:tcW w:w="1271" w:type="dxa"/>
            <w:tcMar>
              <w:top w:w="40" w:type="dxa"/>
              <w:left w:w="80" w:type="dxa"/>
              <w:bottom w:w="40" w:type="dxa"/>
              <w:right w:w="80" w:type="dxa"/>
            </w:tcMar>
            <w:vAlign w:val="center"/>
          </w:tcPr>
          <w:p w14:paraId="4B1CCBF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3.2.5.5</w:t>
            </w:r>
          </w:p>
        </w:tc>
        <w:tc>
          <w:tcPr>
            <w:tcW w:w="5103" w:type="dxa"/>
            <w:tcMar>
              <w:top w:w="40" w:type="dxa"/>
              <w:left w:w="80" w:type="dxa"/>
              <w:bottom w:w="40" w:type="dxa"/>
              <w:right w:w="80" w:type="dxa"/>
            </w:tcMar>
            <w:vAlign w:val="center"/>
          </w:tcPr>
          <w:p w14:paraId="2ACAC4C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2.2.6 – Contrôles et documents</w:t>
            </w:r>
          </w:p>
          <w:p w14:paraId="3FEB3F7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Échantillons de teinte et de finition soumis au maître d’œuvre avant exécution, fiches et avis techniques, PV de conformité, contrôle d’aspect (absence de faïençage / fissuration).</w:t>
            </w:r>
          </w:p>
        </w:tc>
        <w:tc>
          <w:tcPr>
            <w:tcW w:w="688" w:type="dxa"/>
            <w:tcMar>
              <w:top w:w="40" w:type="dxa"/>
              <w:left w:w="80" w:type="dxa"/>
              <w:bottom w:w="40" w:type="dxa"/>
              <w:right w:w="80" w:type="dxa"/>
            </w:tcMar>
            <w:vAlign w:val="center"/>
          </w:tcPr>
          <w:p w14:paraId="3EEF5F4C"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0027CBFE"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1C97989"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9484154"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12ABC22" w14:textId="77777777" w:rsidTr="00E776C5">
        <w:tc>
          <w:tcPr>
            <w:tcW w:w="1271" w:type="dxa"/>
            <w:shd w:val="clear" w:color="auto" w:fill="F2F2F2"/>
            <w:tcMar>
              <w:top w:w="40" w:type="dxa"/>
              <w:left w:w="80" w:type="dxa"/>
              <w:bottom w:w="40" w:type="dxa"/>
              <w:right w:w="80" w:type="dxa"/>
            </w:tcMar>
            <w:vAlign w:val="center"/>
          </w:tcPr>
          <w:p w14:paraId="4DFF6FB4" w14:textId="77777777" w:rsidR="008A504A" w:rsidRPr="00211073" w:rsidRDefault="008A504A">
            <w:pPr>
              <w:spacing w:before="40" w:after="40"/>
              <w:rPr>
                <w:rFonts w:ascii="Times New Roman" w:hAnsi="Times New Roman" w:cs="Times New Roman"/>
                <w:sz w:val="22"/>
                <w:szCs w:val="22"/>
              </w:rPr>
            </w:pPr>
          </w:p>
        </w:tc>
        <w:tc>
          <w:tcPr>
            <w:tcW w:w="6783" w:type="dxa"/>
            <w:gridSpan w:val="3"/>
            <w:shd w:val="clear" w:color="auto" w:fill="F2F2F2"/>
            <w:tcMar>
              <w:top w:w="40" w:type="dxa"/>
              <w:left w:w="80" w:type="dxa"/>
              <w:bottom w:w="40" w:type="dxa"/>
              <w:right w:w="80" w:type="dxa"/>
            </w:tcMar>
            <w:vAlign w:val="center"/>
          </w:tcPr>
          <w:p w14:paraId="5B6D3B6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SOUS-TOTAL SECTION TECHNIQUE N° 2 – € HT</w:t>
            </w:r>
          </w:p>
        </w:tc>
        <w:tc>
          <w:tcPr>
            <w:tcW w:w="1133" w:type="dxa"/>
            <w:shd w:val="clear" w:color="auto" w:fill="F2F2F2"/>
            <w:tcMar>
              <w:top w:w="40" w:type="dxa"/>
              <w:left w:w="80" w:type="dxa"/>
              <w:bottom w:w="40" w:type="dxa"/>
              <w:right w:w="80" w:type="dxa"/>
            </w:tcMar>
            <w:vAlign w:val="center"/>
          </w:tcPr>
          <w:p w14:paraId="088DF283" w14:textId="77777777" w:rsidR="008A504A" w:rsidRPr="00211073" w:rsidRDefault="008A504A">
            <w:pPr>
              <w:spacing w:before="40" w:after="40"/>
              <w:rPr>
                <w:rFonts w:ascii="Times New Roman" w:hAnsi="Times New Roman" w:cs="Times New Roman"/>
                <w:sz w:val="22"/>
                <w:szCs w:val="22"/>
              </w:rPr>
            </w:pPr>
          </w:p>
        </w:tc>
        <w:tc>
          <w:tcPr>
            <w:tcW w:w="1405" w:type="dxa"/>
            <w:shd w:val="clear" w:color="auto" w:fill="F2F2F2"/>
            <w:tcMar>
              <w:top w:w="40" w:type="dxa"/>
              <w:left w:w="80" w:type="dxa"/>
              <w:bottom w:w="40" w:type="dxa"/>
              <w:right w:w="80" w:type="dxa"/>
            </w:tcMar>
            <w:vAlign w:val="center"/>
          </w:tcPr>
          <w:p w14:paraId="489D2F41" w14:textId="77777777" w:rsidR="008A504A" w:rsidRPr="00211073" w:rsidRDefault="008A504A">
            <w:pPr>
              <w:spacing w:before="40" w:after="40"/>
              <w:rPr>
                <w:rFonts w:ascii="Times New Roman" w:hAnsi="Times New Roman" w:cs="Times New Roman"/>
                <w:sz w:val="22"/>
                <w:szCs w:val="22"/>
              </w:rPr>
            </w:pPr>
          </w:p>
        </w:tc>
      </w:tr>
      <w:tr w:rsidR="008A504A" w:rsidRPr="00211073" w14:paraId="29A1A426" w14:textId="77777777" w:rsidTr="002E467D">
        <w:tc>
          <w:tcPr>
            <w:tcW w:w="10592" w:type="dxa"/>
            <w:gridSpan w:val="6"/>
            <w:shd w:val="clear" w:color="auto" w:fill="A6A6A6"/>
            <w:tcMar>
              <w:top w:w="40" w:type="dxa"/>
              <w:left w:w="80" w:type="dxa"/>
              <w:bottom w:w="40" w:type="dxa"/>
              <w:right w:w="80" w:type="dxa"/>
            </w:tcMar>
            <w:vAlign w:val="center"/>
          </w:tcPr>
          <w:p w14:paraId="6F80574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SECTION TECHNIQUE N° 3 – ÉTANCHÉITÉ ET ZINGUERIE (toiture-terrasse de l’extension du bâtiment 087)</w:t>
            </w:r>
          </w:p>
        </w:tc>
      </w:tr>
      <w:tr w:rsidR="008A504A" w:rsidRPr="00211073" w14:paraId="13878E5C" w14:textId="77777777" w:rsidTr="002E467D">
        <w:tc>
          <w:tcPr>
            <w:tcW w:w="10592" w:type="dxa"/>
            <w:gridSpan w:val="6"/>
            <w:shd w:val="clear" w:color="auto" w:fill="BFBFBF"/>
            <w:tcMar>
              <w:top w:w="40" w:type="dxa"/>
              <w:left w:w="80" w:type="dxa"/>
              <w:bottom w:w="40" w:type="dxa"/>
              <w:right w:w="80" w:type="dxa"/>
            </w:tcMar>
            <w:vAlign w:val="center"/>
          </w:tcPr>
          <w:p w14:paraId="39231FC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 – Étanchéité toiture-terrasse et garde-corps (CCTP § 3.3.3)</w:t>
            </w:r>
          </w:p>
        </w:tc>
      </w:tr>
      <w:tr w:rsidR="008A504A" w:rsidRPr="00211073" w14:paraId="0B9D5932" w14:textId="77777777" w:rsidTr="00E776C5">
        <w:tc>
          <w:tcPr>
            <w:tcW w:w="1271" w:type="dxa"/>
            <w:tcMar>
              <w:top w:w="40" w:type="dxa"/>
              <w:left w:w="80" w:type="dxa"/>
              <w:bottom w:w="40" w:type="dxa"/>
              <w:right w:w="80" w:type="dxa"/>
            </w:tcMar>
            <w:vAlign w:val="center"/>
          </w:tcPr>
          <w:p w14:paraId="526D0A3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3.3.3.1</w:t>
            </w:r>
          </w:p>
        </w:tc>
        <w:tc>
          <w:tcPr>
            <w:tcW w:w="5103" w:type="dxa"/>
            <w:tcMar>
              <w:top w:w="40" w:type="dxa"/>
              <w:left w:w="80" w:type="dxa"/>
              <w:bottom w:w="40" w:type="dxa"/>
              <w:right w:w="80" w:type="dxa"/>
            </w:tcMar>
            <w:vAlign w:val="center"/>
          </w:tcPr>
          <w:p w14:paraId="3C2D623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3.1.1 – Préparation du support et forme de pente</w:t>
            </w:r>
          </w:p>
          <w:p w14:paraId="341E362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Réception du support dalle BA (propre, sec, sans laitance ni fissuration active), pente 1,5 à 2 % vers les évacuations sans contre-pente ni stagnation, ragréage localisé, traitement des nids de gravier et joints de fractionnement si nécessaire ; contrôle d’hygrométrie avant pose.</w:t>
            </w:r>
          </w:p>
        </w:tc>
        <w:tc>
          <w:tcPr>
            <w:tcW w:w="688" w:type="dxa"/>
            <w:tcMar>
              <w:top w:w="40" w:type="dxa"/>
              <w:left w:w="80" w:type="dxa"/>
              <w:bottom w:w="40" w:type="dxa"/>
              <w:right w:w="80" w:type="dxa"/>
            </w:tcMar>
            <w:vAlign w:val="center"/>
          </w:tcPr>
          <w:p w14:paraId="060FF29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2CD9AFA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6350AC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BEBAEC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EF2088F" w14:textId="77777777" w:rsidTr="00E776C5">
        <w:tc>
          <w:tcPr>
            <w:tcW w:w="1271" w:type="dxa"/>
            <w:tcMar>
              <w:top w:w="40" w:type="dxa"/>
              <w:left w:w="80" w:type="dxa"/>
              <w:bottom w:w="40" w:type="dxa"/>
              <w:right w:w="80" w:type="dxa"/>
            </w:tcMar>
            <w:vAlign w:val="center"/>
          </w:tcPr>
          <w:p w14:paraId="2E73968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3.3.3.2</w:t>
            </w:r>
          </w:p>
        </w:tc>
        <w:tc>
          <w:tcPr>
            <w:tcW w:w="5103" w:type="dxa"/>
            <w:tcMar>
              <w:top w:w="40" w:type="dxa"/>
              <w:left w:w="80" w:type="dxa"/>
              <w:bottom w:w="40" w:type="dxa"/>
              <w:right w:w="80" w:type="dxa"/>
            </w:tcMar>
            <w:vAlign w:val="center"/>
          </w:tcPr>
          <w:p w14:paraId="236277D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3.1.2 – Écran pare-vapeur</w:t>
            </w:r>
          </w:p>
          <w:p w14:paraId="139C087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Adapté à l’hygrométrie des locaux, soudé ou auto-adhésif sur primaire, recouvrements ≥ 8 cm, relevés périphériques ≥ 10 cm, continuité aux pénétrations et relevés.</w:t>
            </w:r>
          </w:p>
        </w:tc>
        <w:tc>
          <w:tcPr>
            <w:tcW w:w="688" w:type="dxa"/>
            <w:tcMar>
              <w:top w:w="40" w:type="dxa"/>
              <w:left w:w="80" w:type="dxa"/>
              <w:bottom w:w="40" w:type="dxa"/>
              <w:right w:w="80" w:type="dxa"/>
            </w:tcMar>
            <w:vAlign w:val="center"/>
          </w:tcPr>
          <w:p w14:paraId="63FD67C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0B8390D2"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15772FF"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2E38F0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5E29D9F" w14:textId="77777777" w:rsidTr="00E776C5">
        <w:tc>
          <w:tcPr>
            <w:tcW w:w="1271" w:type="dxa"/>
            <w:tcMar>
              <w:top w:w="40" w:type="dxa"/>
              <w:left w:w="80" w:type="dxa"/>
              <w:bottom w:w="40" w:type="dxa"/>
              <w:right w:w="80" w:type="dxa"/>
            </w:tcMar>
            <w:vAlign w:val="center"/>
          </w:tcPr>
          <w:p w14:paraId="763F1EB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3.3.3.3</w:t>
            </w:r>
          </w:p>
        </w:tc>
        <w:tc>
          <w:tcPr>
            <w:tcW w:w="5103" w:type="dxa"/>
            <w:tcMar>
              <w:top w:w="40" w:type="dxa"/>
              <w:left w:w="80" w:type="dxa"/>
              <w:bottom w:w="40" w:type="dxa"/>
              <w:right w:w="80" w:type="dxa"/>
            </w:tcMar>
            <w:vAlign w:val="center"/>
          </w:tcPr>
          <w:p w14:paraId="6E89C78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3.1.3 – Isolation thermique de toiture</w:t>
            </w:r>
          </w:p>
          <w:p w14:paraId="36B8E58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Panneaux rigides PIR surfacés ou laine minérale haute résistance à la compression, joints décalés, résistance thermique conforme à l’étude thermique RE2020, fixation mécanique ou collage à froid sous avis technique, relevés isolants aux acrotères le cas échéant.</w:t>
            </w:r>
          </w:p>
        </w:tc>
        <w:tc>
          <w:tcPr>
            <w:tcW w:w="688" w:type="dxa"/>
            <w:tcMar>
              <w:top w:w="40" w:type="dxa"/>
              <w:left w:w="80" w:type="dxa"/>
              <w:bottom w:w="40" w:type="dxa"/>
              <w:right w:w="80" w:type="dxa"/>
            </w:tcMar>
            <w:vAlign w:val="center"/>
          </w:tcPr>
          <w:p w14:paraId="6E4B4C2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59B47C22"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C0AFEC9"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CDD6E70"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ADAA395" w14:textId="77777777" w:rsidTr="00E776C5">
        <w:tc>
          <w:tcPr>
            <w:tcW w:w="1271" w:type="dxa"/>
            <w:tcMar>
              <w:top w:w="40" w:type="dxa"/>
              <w:left w:w="80" w:type="dxa"/>
              <w:bottom w:w="40" w:type="dxa"/>
              <w:right w:w="80" w:type="dxa"/>
            </w:tcMar>
            <w:vAlign w:val="center"/>
          </w:tcPr>
          <w:p w14:paraId="41C5BBE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3.3.3.4</w:t>
            </w:r>
          </w:p>
        </w:tc>
        <w:tc>
          <w:tcPr>
            <w:tcW w:w="5103" w:type="dxa"/>
            <w:tcMar>
              <w:top w:w="40" w:type="dxa"/>
              <w:left w:w="80" w:type="dxa"/>
              <w:bottom w:w="40" w:type="dxa"/>
              <w:right w:w="80" w:type="dxa"/>
            </w:tcMar>
            <w:vAlign w:val="center"/>
          </w:tcPr>
          <w:p w14:paraId="59C71A6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3.1.4 – Revêtement d’étanchéité bicouche</w:t>
            </w:r>
          </w:p>
          <w:p w14:paraId="464DFC0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Étanchéité bicouche bitumineuse élastomère SBS soudée (1re couche armée polyester + 2e couche autoprotégée) ou membrane synthétique PVC-P / TPO sous avis technique ; fixation en plein / semi-indépendante conforme au CPT du procédé.</w:t>
            </w:r>
          </w:p>
        </w:tc>
        <w:tc>
          <w:tcPr>
            <w:tcW w:w="688" w:type="dxa"/>
            <w:tcMar>
              <w:top w:w="40" w:type="dxa"/>
              <w:left w:w="80" w:type="dxa"/>
              <w:bottom w:w="40" w:type="dxa"/>
              <w:right w:w="80" w:type="dxa"/>
            </w:tcMar>
            <w:vAlign w:val="center"/>
          </w:tcPr>
          <w:p w14:paraId="38CA5B0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4612139F"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E87A7EF"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5424840"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8B063D6" w14:textId="77777777" w:rsidTr="00E776C5">
        <w:tc>
          <w:tcPr>
            <w:tcW w:w="1271" w:type="dxa"/>
            <w:tcMar>
              <w:top w:w="40" w:type="dxa"/>
              <w:left w:w="80" w:type="dxa"/>
              <w:bottom w:w="40" w:type="dxa"/>
              <w:right w:w="80" w:type="dxa"/>
            </w:tcMar>
            <w:vAlign w:val="center"/>
          </w:tcPr>
          <w:p w14:paraId="00C2470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3.3.3.4</w:t>
            </w:r>
          </w:p>
        </w:tc>
        <w:tc>
          <w:tcPr>
            <w:tcW w:w="5103" w:type="dxa"/>
            <w:tcMar>
              <w:top w:w="40" w:type="dxa"/>
              <w:left w:w="80" w:type="dxa"/>
              <w:bottom w:w="40" w:type="dxa"/>
              <w:right w:w="80" w:type="dxa"/>
            </w:tcMar>
            <w:vAlign w:val="center"/>
          </w:tcPr>
          <w:p w14:paraId="382A837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3.1.5 – Relevés d’étanchéité sur acrotères et émergences</w:t>
            </w:r>
          </w:p>
          <w:p w14:paraId="5203775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Relevés soudés en plein, hauteur ≥ 15 cm au-dessus de la protection, renforts d’angles, équerres et bandes de solin.</w:t>
            </w:r>
          </w:p>
        </w:tc>
        <w:tc>
          <w:tcPr>
            <w:tcW w:w="688" w:type="dxa"/>
            <w:tcMar>
              <w:top w:w="40" w:type="dxa"/>
              <w:left w:w="80" w:type="dxa"/>
              <w:bottom w:w="40" w:type="dxa"/>
              <w:right w:w="80" w:type="dxa"/>
            </w:tcMar>
            <w:vAlign w:val="center"/>
          </w:tcPr>
          <w:p w14:paraId="6A05AEC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770FCDC7"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4564D4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DE015C7"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0EB0D36" w14:textId="77777777" w:rsidTr="00E776C5">
        <w:tc>
          <w:tcPr>
            <w:tcW w:w="1271" w:type="dxa"/>
            <w:tcMar>
              <w:top w:w="40" w:type="dxa"/>
              <w:left w:w="80" w:type="dxa"/>
              <w:bottom w:w="40" w:type="dxa"/>
              <w:right w:w="80" w:type="dxa"/>
            </w:tcMar>
            <w:vAlign w:val="center"/>
          </w:tcPr>
          <w:p w14:paraId="31F2DBFD"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3.3.3.5</w:t>
            </w:r>
          </w:p>
        </w:tc>
        <w:tc>
          <w:tcPr>
            <w:tcW w:w="5103" w:type="dxa"/>
            <w:tcMar>
              <w:top w:w="40" w:type="dxa"/>
              <w:left w:w="80" w:type="dxa"/>
              <w:bottom w:w="40" w:type="dxa"/>
              <w:right w:w="80" w:type="dxa"/>
            </w:tcMar>
            <w:vAlign w:val="center"/>
          </w:tcPr>
          <w:p w14:paraId="4CEE4B2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3.1.6 – Protection du revêtement</w:t>
            </w:r>
          </w:p>
          <w:p w14:paraId="6CC70E7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Toiture inaccessible (entretien uniquement) : autoprotection minérale ou protection meuble par gravillons roulés lavés sur écran géotextile ; dalles sur plots ou chemins de circulation aux zones d’entretien ; bande de désolidarisation périphérique.</w:t>
            </w:r>
          </w:p>
        </w:tc>
        <w:tc>
          <w:tcPr>
            <w:tcW w:w="688" w:type="dxa"/>
            <w:tcMar>
              <w:top w:w="40" w:type="dxa"/>
              <w:left w:w="80" w:type="dxa"/>
              <w:bottom w:w="40" w:type="dxa"/>
              <w:right w:w="80" w:type="dxa"/>
            </w:tcMar>
            <w:vAlign w:val="center"/>
          </w:tcPr>
          <w:p w14:paraId="2B837EA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m²</w:t>
            </w:r>
          </w:p>
        </w:tc>
        <w:tc>
          <w:tcPr>
            <w:tcW w:w="992" w:type="dxa"/>
            <w:tcMar>
              <w:top w:w="40" w:type="dxa"/>
              <w:left w:w="80" w:type="dxa"/>
              <w:bottom w:w="40" w:type="dxa"/>
              <w:right w:w="80" w:type="dxa"/>
            </w:tcMar>
            <w:vAlign w:val="center"/>
          </w:tcPr>
          <w:p w14:paraId="6E9F34DE"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6CBC252D"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8EB2B5C"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7476FB4" w14:textId="77777777" w:rsidTr="00E776C5">
        <w:tc>
          <w:tcPr>
            <w:tcW w:w="1271" w:type="dxa"/>
            <w:tcMar>
              <w:top w:w="40" w:type="dxa"/>
              <w:left w:w="80" w:type="dxa"/>
              <w:bottom w:w="40" w:type="dxa"/>
              <w:right w:w="80" w:type="dxa"/>
            </w:tcMar>
            <w:vAlign w:val="center"/>
          </w:tcPr>
          <w:p w14:paraId="1466B19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3.3.3.6</w:t>
            </w:r>
          </w:p>
        </w:tc>
        <w:tc>
          <w:tcPr>
            <w:tcW w:w="5103" w:type="dxa"/>
            <w:tcMar>
              <w:top w:w="40" w:type="dxa"/>
              <w:left w:w="80" w:type="dxa"/>
              <w:bottom w:w="40" w:type="dxa"/>
              <w:right w:w="80" w:type="dxa"/>
            </w:tcMar>
            <w:vAlign w:val="center"/>
          </w:tcPr>
          <w:p w14:paraId="42B72FE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3.1.7 – Naissances EP à platine avec crapaudine inox</w:t>
            </w:r>
          </w:p>
          <w:p w14:paraId="08B50F5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Entrées d’eaux pluviales raccordées aux descentes, section dimensionnée selon débit calculé (DTU 40.5), traitement étanche de la costière et de la retombée.</w:t>
            </w:r>
          </w:p>
        </w:tc>
        <w:tc>
          <w:tcPr>
            <w:tcW w:w="688" w:type="dxa"/>
            <w:tcMar>
              <w:top w:w="40" w:type="dxa"/>
              <w:left w:w="80" w:type="dxa"/>
              <w:bottom w:w="40" w:type="dxa"/>
              <w:right w:w="80" w:type="dxa"/>
            </w:tcMar>
            <w:vAlign w:val="center"/>
          </w:tcPr>
          <w:p w14:paraId="251ABB26"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0D8A7746"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40E837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BD50C59"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5B5F0EC" w14:textId="77777777" w:rsidTr="00E776C5">
        <w:tc>
          <w:tcPr>
            <w:tcW w:w="1271" w:type="dxa"/>
            <w:tcMar>
              <w:top w:w="40" w:type="dxa"/>
              <w:left w:w="80" w:type="dxa"/>
              <w:bottom w:w="40" w:type="dxa"/>
              <w:right w:w="80" w:type="dxa"/>
            </w:tcMar>
            <w:vAlign w:val="center"/>
          </w:tcPr>
          <w:p w14:paraId="5A94F6CC"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3.3.3.6</w:t>
            </w:r>
          </w:p>
        </w:tc>
        <w:tc>
          <w:tcPr>
            <w:tcW w:w="5103" w:type="dxa"/>
            <w:tcMar>
              <w:top w:w="40" w:type="dxa"/>
              <w:left w:w="80" w:type="dxa"/>
              <w:bottom w:w="40" w:type="dxa"/>
              <w:right w:w="80" w:type="dxa"/>
            </w:tcMar>
            <w:vAlign w:val="center"/>
          </w:tcPr>
          <w:p w14:paraId="1FCCE8F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3.1.8 – Trop-plein de sécurité</w:t>
            </w:r>
          </w:p>
          <w:p w14:paraId="13124B6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Dispositif de trop-plein en débord, à niveau réglementaire au-dessus de l’étanchéité.</w:t>
            </w:r>
          </w:p>
        </w:tc>
        <w:tc>
          <w:tcPr>
            <w:tcW w:w="688" w:type="dxa"/>
            <w:tcMar>
              <w:top w:w="40" w:type="dxa"/>
              <w:left w:w="80" w:type="dxa"/>
              <w:bottom w:w="40" w:type="dxa"/>
              <w:right w:w="80" w:type="dxa"/>
            </w:tcMar>
            <w:vAlign w:val="center"/>
          </w:tcPr>
          <w:p w14:paraId="3FE3C26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1FA5B94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3C23DD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DCB923D"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CE795AD" w14:textId="77777777" w:rsidTr="00E776C5">
        <w:tc>
          <w:tcPr>
            <w:tcW w:w="1271" w:type="dxa"/>
            <w:tcMar>
              <w:top w:w="40" w:type="dxa"/>
              <w:left w:w="80" w:type="dxa"/>
              <w:bottom w:w="40" w:type="dxa"/>
              <w:right w:w="80" w:type="dxa"/>
            </w:tcMar>
            <w:vAlign w:val="center"/>
          </w:tcPr>
          <w:p w14:paraId="6FE86180"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3.3.3.6</w:t>
            </w:r>
          </w:p>
        </w:tc>
        <w:tc>
          <w:tcPr>
            <w:tcW w:w="5103" w:type="dxa"/>
            <w:tcMar>
              <w:top w:w="40" w:type="dxa"/>
              <w:left w:w="80" w:type="dxa"/>
              <w:bottom w:w="40" w:type="dxa"/>
              <w:right w:w="80" w:type="dxa"/>
            </w:tcMar>
            <w:vAlign w:val="center"/>
          </w:tcPr>
          <w:p w14:paraId="40F16E8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3.1.9 – Reprise des chéneaux et descentes EP du bâtiment principal</w:t>
            </w:r>
          </w:p>
          <w:p w14:paraId="092AE53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Reprises rendues nécessaires par la construction de l’extension (raccordements, façonnages, adaptations).</w:t>
            </w:r>
          </w:p>
        </w:tc>
        <w:tc>
          <w:tcPr>
            <w:tcW w:w="688" w:type="dxa"/>
            <w:tcMar>
              <w:top w:w="40" w:type="dxa"/>
              <w:left w:w="80" w:type="dxa"/>
              <w:bottom w:w="40" w:type="dxa"/>
              <w:right w:w="80" w:type="dxa"/>
            </w:tcMar>
            <w:vAlign w:val="center"/>
          </w:tcPr>
          <w:p w14:paraId="4DA898EB"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57FF47B6"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76EF0DF"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61BA075"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42E54288" w14:textId="77777777" w:rsidTr="00E776C5">
        <w:tc>
          <w:tcPr>
            <w:tcW w:w="1271" w:type="dxa"/>
            <w:tcMar>
              <w:top w:w="40" w:type="dxa"/>
              <w:left w:w="80" w:type="dxa"/>
              <w:bottom w:w="40" w:type="dxa"/>
              <w:right w:w="80" w:type="dxa"/>
            </w:tcMar>
            <w:vAlign w:val="center"/>
          </w:tcPr>
          <w:p w14:paraId="7B65DA5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3.3.3.6</w:t>
            </w:r>
          </w:p>
        </w:tc>
        <w:tc>
          <w:tcPr>
            <w:tcW w:w="5103" w:type="dxa"/>
            <w:tcMar>
              <w:top w:w="40" w:type="dxa"/>
              <w:left w:w="80" w:type="dxa"/>
              <w:bottom w:w="40" w:type="dxa"/>
              <w:right w:w="80" w:type="dxa"/>
            </w:tcMar>
            <w:vAlign w:val="center"/>
          </w:tcPr>
          <w:p w14:paraId="0D7673A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3.1.10 – Reprise des chéneaux et descentes EP du bâtiment H</w:t>
            </w:r>
          </w:p>
          <w:p w14:paraId="143EC58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Reprises suite à la création de l’ouverture dans la salle de convivialité.</w:t>
            </w:r>
          </w:p>
        </w:tc>
        <w:tc>
          <w:tcPr>
            <w:tcW w:w="688" w:type="dxa"/>
            <w:tcMar>
              <w:top w:w="40" w:type="dxa"/>
              <w:left w:w="80" w:type="dxa"/>
              <w:bottom w:w="40" w:type="dxa"/>
              <w:right w:w="80" w:type="dxa"/>
            </w:tcMar>
            <w:vAlign w:val="center"/>
          </w:tcPr>
          <w:p w14:paraId="472C7DF2"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10E885B5"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35E2D99"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0F080CF1"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EBE9DCE" w14:textId="77777777" w:rsidTr="00E776C5">
        <w:tc>
          <w:tcPr>
            <w:tcW w:w="1271" w:type="dxa"/>
            <w:tcMar>
              <w:top w:w="40" w:type="dxa"/>
              <w:left w:w="80" w:type="dxa"/>
              <w:bottom w:w="40" w:type="dxa"/>
              <w:right w:w="80" w:type="dxa"/>
            </w:tcMar>
            <w:vAlign w:val="center"/>
          </w:tcPr>
          <w:p w14:paraId="7036321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3.3.3.7</w:t>
            </w:r>
          </w:p>
        </w:tc>
        <w:tc>
          <w:tcPr>
            <w:tcW w:w="5103" w:type="dxa"/>
            <w:tcMar>
              <w:top w:w="40" w:type="dxa"/>
              <w:left w:w="80" w:type="dxa"/>
              <w:bottom w:w="40" w:type="dxa"/>
              <w:right w:w="80" w:type="dxa"/>
            </w:tcMar>
            <w:vAlign w:val="center"/>
          </w:tcPr>
          <w:p w14:paraId="6A2CC8F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3.1.11 – Points singuliers</w:t>
            </w:r>
          </w:p>
          <w:p w14:paraId="53277EEE"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Pénétrations (ventilations, sorties VMC, gaines) : costières, manchons, collerettes, solins soudés, chapeaux de protection ; jonctions de matériaux hétérogènes : bandes d’armature polyester et renforts d’angles ; acrotères ≥ 15 cm après protection.</w:t>
            </w:r>
          </w:p>
        </w:tc>
        <w:tc>
          <w:tcPr>
            <w:tcW w:w="688" w:type="dxa"/>
            <w:tcMar>
              <w:top w:w="40" w:type="dxa"/>
              <w:left w:w="80" w:type="dxa"/>
              <w:bottom w:w="40" w:type="dxa"/>
              <w:right w:w="80" w:type="dxa"/>
            </w:tcMar>
            <w:vAlign w:val="center"/>
          </w:tcPr>
          <w:p w14:paraId="2D3D5551"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4FECAA3"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DB08A42"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8B4E4E9"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D71060D" w14:textId="77777777" w:rsidTr="00E776C5">
        <w:tc>
          <w:tcPr>
            <w:tcW w:w="1271" w:type="dxa"/>
            <w:tcMar>
              <w:top w:w="40" w:type="dxa"/>
              <w:left w:w="80" w:type="dxa"/>
              <w:bottom w:w="40" w:type="dxa"/>
              <w:right w:w="80" w:type="dxa"/>
            </w:tcMar>
            <w:vAlign w:val="center"/>
          </w:tcPr>
          <w:p w14:paraId="61B8B58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3.3.3.8</w:t>
            </w:r>
          </w:p>
        </w:tc>
        <w:tc>
          <w:tcPr>
            <w:tcW w:w="5103" w:type="dxa"/>
            <w:tcMar>
              <w:top w:w="40" w:type="dxa"/>
              <w:left w:w="80" w:type="dxa"/>
              <w:bottom w:w="40" w:type="dxa"/>
              <w:right w:w="80" w:type="dxa"/>
            </w:tcMar>
            <w:vAlign w:val="center"/>
          </w:tcPr>
          <w:p w14:paraId="06193079"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3.1.12 – Garde-corps de toiture (protection collective)</w:t>
            </w:r>
          </w:p>
          <w:p w14:paraId="0F65546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Garde-corps périphérique conforme NF E85-015 (potelets, lisse haute, lisse intermédiaire, plinthe) en acier galvanisé ou aluminium, hauteur ≥ 1,00 m, fixation sur acrotère ou dalle par platines et ancrages sans percement traversant de l’étanchéité (costière ou lestage) ; à défaut, lignes de vie / points d’ancrage EN 795 selon choix du maître d’œuvre.</w:t>
            </w:r>
          </w:p>
        </w:tc>
        <w:tc>
          <w:tcPr>
            <w:tcW w:w="688" w:type="dxa"/>
            <w:tcMar>
              <w:top w:w="40" w:type="dxa"/>
              <w:left w:w="80" w:type="dxa"/>
              <w:bottom w:w="40" w:type="dxa"/>
              <w:right w:w="80" w:type="dxa"/>
            </w:tcMar>
            <w:vAlign w:val="center"/>
          </w:tcPr>
          <w:p w14:paraId="3D646B2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506EBE2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4381F752"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BF9E91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DA4A4FA" w14:textId="77777777" w:rsidTr="00E776C5">
        <w:tc>
          <w:tcPr>
            <w:tcW w:w="1271" w:type="dxa"/>
            <w:tcMar>
              <w:top w:w="40" w:type="dxa"/>
              <w:left w:w="80" w:type="dxa"/>
              <w:bottom w:w="40" w:type="dxa"/>
              <w:right w:w="80" w:type="dxa"/>
            </w:tcMar>
            <w:vAlign w:val="center"/>
          </w:tcPr>
          <w:p w14:paraId="24021F21"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3.3.3.9</w:t>
            </w:r>
          </w:p>
        </w:tc>
        <w:tc>
          <w:tcPr>
            <w:tcW w:w="5103" w:type="dxa"/>
            <w:tcMar>
              <w:top w:w="40" w:type="dxa"/>
              <w:left w:w="80" w:type="dxa"/>
              <w:bottom w:w="40" w:type="dxa"/>
              <w:right w:w="80" w:type="dxa"/>
            </w:tcMar>
            <w:vAlign w:val="center"/>
          </w:tcPr>
          <w:p w14:paraId="0070F8F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3.1.13 – Essais et réception de l’étanchéité</w:t>
            </w:r>
          </w:p>
          <w:p w14:paraId="090B527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Essai d’étanchéité par mise en eau 48-72 h ou méthode équivalente (fumigène / détection), vérification des relevés, angles et raccords, PV de réception, cahier des détails de mise en œuvre, garanties fabricant.</w:t>
            </w:r>
          </w:p>
        </w:tc>
        <w:tc>
          <w:tcPr>
            <w:tcW w:w="688" w:type="dxa"/>
            <w:tcMar>
              <w:top w:w="40" w:type="dxa"/>
              <w:left w:w="80" w:type="dxa"/>
              <w:bottom w:w="40" w:type="dxa"/>
              <w:right w:w="80" w:type="dxa"/>
            </w:tcMar>
            <w:vAlign w:val="center"/>
          </w:tcPr>
          <w:p w14:paraId="1266ED42"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11A8B60A"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05C4A2E"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F968CCF"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CB868DD" w14:textId="77777777" w:rsidTr="002E467D">
        <w:tc>
          <w:tcPr>
            <w:tcW w:w="10592" w:type="dxa"/>
            <w:gridSpan w:val="6"/>
            <w:shd w:val="clear" w:color="auto" w:fill="BFBFBF"/>
            <w:tcMar>
              <w:top w:w="40" w:type="dxa"/>
              <w:left w:w="80" w:type="dxa"/>
              <w:bottom w:w="40" w:type="dxa"/>
              <w:right w:w="80" w:type="dxa"/>
            </w:tcMar>
            <w:vAlign w:val="center"/>
          </w:tcPr>
          <w:p w14:paraId="0059B66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3.2 – Zinguerie (CCTP § 3.3.4)</w:t>
            </w:r>
          </w:p>
        </w:tc>
      </w:tr>
      <w:tr w:rsidR="008A504A" w:rsidRPr="00211073" w14:paraId="1C22D604" w14:textId="77777777" w:rsidTr="00E776C5">
        <w:tc>
          <w:tcPr>
            <w:tcW w:w="1271" w:type="dxa"/>
            <w:tcMar>
              <w:top w:w="40" w:type="dxa"/>
              <w:left w:w="80" w:type="dxa"/>
              <w:bottom w:w="40" w:type="dxa"/>
              <w:right w:w="80" w:type="dxa"/>
            </w:tcMar>
            <w:vAlign w:val="center"/>
          </w:tcPr>
          <w:p w14:paraId="199BA40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3.3.4.1</w:t>
            </w:r>
          </w:p>
        </w:tc>
        <w:tc>
          <w:tcPr>
            <w:tcW w:w="5103" w:type="dxa"/>
            <w:tcMar>
              <w:top w:w="40" w:type="dxa"/>
              <w:left w:w="80" w:type="dxa"/>
              <w:bottom w:w="40" w:type="dxa"/>
              <w:right w:w="80" w:type="dxa"/>
            </w:tcMar>
            <w:vAlign w:val="center"/>
          </w:tcPr>
          <w:p w14:paraId="02F07C2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3.2.1 – Couvertines d’acrotères</w:t>
            </w:r>
          </w:p>
          <w:p w14:paraId="5ED8743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Aluminium laqué (teinte RAL au choix du maître d’œuvre) ou zinc, ép. ≥ 15/10e, façonnées et pliées, fixation mécanique invisible par crochets / éclisses inox, joints de dilatation, recouvrements étanches par emboîtement, pente vers l’intérieur.</w:t>
            </w:r>
          </w:p>
        </w:tc>
        <w:tc>
          <w:tcPr>
            <w:tcW w:w="688" w:type="dxa"/>
            <w:tcMar>
              <w:top w:w="40" w:type="dxa"/>
              <w:left w:w="80" w:type="dxa"/>
              <w:bottom w:w="40" w:type="dxa"/>
              <w:right w:w="80" w:type="dxa"/>
            </w:tcMar>
            <w:vAlign w:val="center"/>
          </w:tcPr>
          <w:p w14:paraId="30EE79F2"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ml</w:t>
            </w:r>
          </w:p>
        </w:tc>
        <w:tc>
          <w:tcPr>
            <w:tcW w:w="992" w:type="dxa"/>
            <w:tcMar>
              <w:top w:w="40" w:type="dxa"/>
              <w:left w:w="80" w:type="dxa"/>
              <w:bottom w:w="40" w:type="dxa"/>
              <w:right w:w="80" w:type="dxa"/>
            </w:tcMar>
            <w:vAlign w:val="center"/>
          </w:tcPr>
          <w:p w14:paraId="47C90E8F"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7404F08"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924998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B49884A" w14:textId="77777777" w:rsidTr="00E776C5">
        <w:tc>
          <w:tcPr>
            <w:tcW w:w="1271" w:type="dxa"/>
            <w:tcMar>
              <w:top w:w="40" w:type="dxa"/>
              <w:left w:w="80" w:type="dxa"/>
              <w:bottom w:w="40" w:type="dxa"/>
              <w:right w:w="80" w:type="dxa"/>
            </w:tcMar>
            <w:vAlign w:val="center"/>
          </w:tcPr>
          <w:p w14:paraId="7F79289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3.3.4.1 / 3.3.4.3</w:t>
            </w:r>
          </w:p>
        </w:tc>
        <w:tc>
          <w:tcPr>
            <w:tcW w:w="5103" w:type="dxa"/>
            <w:tcMar>
              <w:top w:w="40" w:type="dxa"/>
              <w:left w:w="80" w:type="dxa"/>
              <w:bottom w:w="40" w:type="dxa"/>
              <w:right w:w="80" w:type="dxa"/>
            </w:tcMar>
            <w:vAlign w:val="center"/>
          </w:tcPr>
          <w:p w14:paraId="66176AE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3.2.2 – Bandes de rive, solins, bavettes et habillages</w:t>
            </w:r>
          </w:p>
          <w:p w14:paraId="2B6DA49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Bandes de rive, solins et bavettes métalliques aux raccords façade / toiture, habillages des points singuliers, chéneaux ou noues façonnés le cas échéant avec pattes de fixation et jonctions étanches, raccords soignés avec l’enduit et les menuiseries.</w:t>
            </w:r>
          </w:p>
        </w:tc>
        <w:tc>
          <w:tcPr>
            <w:tcW w:w="688" w:type="dxa"/>
            <w:tcMar>
              <w:top w:w="40" w:type="dxa"/>
              <w:left w:w="80" w:type="dxa"/>
              <w:bottom w:w="40" w:type="dxa"/>
              <w:right w:w="80" w:type="dxa"/>
            </w:tcMar>
            <w:vAlign w:val="center"/>
          </w:tcPr>
          <w:p w14:paraId="2850324A"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7A5F6E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4FDFAB3"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E876564"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11CC7B9" w14:textId="77777777" w:rsidTr="00E776C5">
        <w:tc>
          <w:tcPr>
            <w:tcW w:w="1271" w:type="dxa"/>
            <w:tcMar>
              <w:top w:w="40" w:type="dxa"/>
              <w:left w:w="80" w:type="dxa"/>
              <w:bottom w:w="40" w:type="dxa"/>
              <w:right w:w="80" w:type="dxa"/>
            </w:tcMar>
            <w:vAlign w:val="center"/>
          </w:tcPr>
          <w:p w14:paraId="7EFE6C59"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3.3.4.2</w:t>
            </w:r>
          </w:p>
        </w:tc>
        <w:tc>
          <w:tcPr>
            <w:tcW w:w="5103" w:type="dxa"/>
            <w:tcMar>
              <w:top w:w="40" w:type="dxa"/>
              <w:left w:w="80" w:type="dxa"/>
              <w:bottom w:w="40" w:type="dxa"/>
              <w:right w:w="80" w:type="dxa"/>
            </w:tcMar>
            <w:vAlign w:val="center"/>
          </w:tcPr>
          <w:p w14:paraId="018FA11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3.2.3 – Descentes EP avec dauphins</w:t>
            </w:r>
          </w:p>
          <w:p w14:paraId="7E230A6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Descentes en zinc, aluminium ou PVC (section selon débit calculé), colliers avec chevilles inox espacés ≤ 1,50 m, RAL suivant plans PC, dauphins fonte ou pied de chute renforcé en partie basse, raccordement en attente sur les réseaux EP enterrés (repris en section technique 1).</w:t>
            </w:r>
          </w:p>
        </w:tc>
        <w:tc>
          <w:tcPr>
            <w:tcW w:w="688" w:type="dxa"/>
            <w:tcMar>
              <w:top w:w="40" w:type="dxa"/>
              <w:left w:w="80" w:type="dxa"/>
              <w:bottom w:w="40" w:type="dxa"/>
              <w:right w:w="80" w:type="dxa"/>
            </w:tcMar>
            <w:vAlign w:val="center"/>
          </w:tcPr>
          <w:p w14:paraId="2153DE1A"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297C5D0B"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30A416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B7C7837"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F32E115" w14:textId="77777777" w:rsidTr="00E776C5">
        <w:tc>
          <w:tcPr>
            <w:tcW w:w="1271" w:type="dxa"/>
            <w:tcMar>
              <w:top w:w="40" w:type="dxa"/>
              <w:left w:w="80" w:type="dxa"/>
              <w:bottom w:w="40" w:type="dxa"/>
              <w:right w:w="80" w:type="dxa"/>
            </w:tcMar>
            <w:vAlign w:val="center"/>
          </w:tcPr>
          <w:p w14:paraId="5826D3B4"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3.3.4.4</w:t>
            </w:r>
          </w:p>
        </w:tc>
        <w:tc>
          <w:tcPr>
            <w:tcW w:w="5103" w:type="dxa"/>
            <w:tcMar>
              <w:top w:w="40" w:type="dxa"/>
              <w:left w:w="80" w:type="dxa"/>
              <w:bottom w:w="40" w:type="dxa"/>
              <w:right w:w="80" w:type="dxa"/>
            </w:tcMar>
            <w:vAlign w:val="center"/>
          </w:tcPr>
          <w:p w14:paraId="649495E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3.2.4 – Contrôles et documents</w:t>
            </w:r>
          </w:p>
          <w:p w14:paraId="3346AB6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Contrôle de l’étanchéité des raccords, de la tenue mécanique des fixations et des pentes ; fiches techniques, PV de réception, plan de calepinage de la zinguerie au DOE.</w:t>
            </w:r>
          </w:p>
        </w:tc>
        <w:tc>
          <w:tcPr>
            <w:tcW w:w="688" w:type="dxa"/>
            <w:tcMar>
              <w:top w:w="40" w:type="dxa"/>
              <w:left w:w="80" w:type="dxa"/>
              <w:bottom w:w="40" w:type="dxa"/>
              <w:right w:w="80" w:type="dxa"/>
            </w:tcMar>
            <w:vAlign w:val="center"/>
          </w:tcPr>
          <w:p w14:paraId="3929B5DA"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10325194"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5704506"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F14E21A"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FCABF39" w14:textId="77777777" w:rsidTr="00E776C5">
        <w:tc>
          <w:tcPr>
            <w:tcW w:w="1271" w:type="dxa"/>
            <w:shd w:val="clear" w:color="auto" w:fill="F2F2F2"/>
            <w:tcMar>
              <w:top w:w="40" w:type="dxa"/>
              <w:left w:w="80" w:type="dxa"/>
              <w:bottom w:w="40" w:type="dxa"/>
              <w:right w:w="80" w:type="dxa"/>
            </w:tcMar>
            <w:vAlign w:val="center"/>
          </w:tcPr>
          <w:p w14:paraId="2DF189D1" w14:textId="77777777" w:rsidR="008A504A" w:rsidRPr="00211073" w:rsidRDefault="008A504A">
            <w:pPr>
              <w:spacing w:before="40" w:after="40"/>
              <w:rPr>
                <w:rFonts w:ascii="Times New Roman" w:hAnsi="Times New Roman" w:cs="Times New Roman"/>
                <w:sz w:val="22"/>
                <w:szCs w:val="22"/>
              </w:rPr>
            </w:pPr>
          </w:p>
        </w:tc>
        <w:tc>
          <w:tcPr>
            <w:tcW w:w="6783" w:type="dxa"/>
            <w:gridSpan w:val="3"/>
            <w:shd w:val="clear" w:color="auto" w:fill="F2F2F2"/>
            <w:tcMar>
              <w:top w:w="40" w:type="dxa"/>
              <w:left w:w="80" w:type="dxa"/>
              <w:bottom w:w="40" w:type="dxa"/>
              <w:right w:w="80" w:type="dxa"/>
            </w:tcMar>
            <w:vAlign w:val="center"/>
          </w:tcPr>
          <w:p w14:paraId="2640F0B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SOUS-TOTAL SECTION TECHNIQUE N° 3 – € HT</w:t>
            </w:r>
          </w:p>
        </w:tc>
        <w:tc>
          <w:tcPr>
            <w:tcW w:w="1133" w:type="dxa"/>
            <w:shd w:val="clear" w:color="auto" w:fill="F2F2F2"/>
            <w:tcMar>
              <w:top w:w="40" w:type="dxa"/>
              <w:left w:w="80" w:type="dxa"/>
              <w:bottom w:w="40" w:type="dxa"/>
              <w:right w:w="80" w:type="dxa"/>
            </w:tcMar>
            <w:vAlign w:val="center"/>
          </w:tcPr>
          <w:p w14:paraId="245E8102" w14:textId="77777777" w:rsidR="008A504A" w:rsidRPr="00211073" w:rsidRDefault="008A504A">
            <w:pPr>
              <w:spacing w:before="40" w:after="40"/>
              <w:rPr>
                <w:rFonts w:ascii="Times New Roman" w:hAnsi="Times New Roman" w:cs="Times New Roman"/>
                <w:sz w:val="22"/>
                <w:szCs w:val="22"/>
              </w:rPr>
            </w:pPr>
          </w:p>
        </w:tc>
        <w:tc>
          <w:tcPr>
            <w:tcW w:w="1405" w:type="dxa"/>
            <w:shd w:val="clear" w:color="auto" w:fill="F2F2F2"/>
            <w:tcMar>
              <w:top w:w="40" w:type="dxa"/>
              <w:left w:w="80" w:type="dxa"/>
              <w:bottom w:w="40" w:type="dxa"/>
              <w:right w:w="80" w:type="dxa"/>
            </w:tcMar>
            <w:vAlign w:val="center"/>
          </w:tcPr>
          <w:p w14:paraId="5887E0DF" w14:textId="77777777" w:rsidR="008A504A" w:rsidRPr="00211073" w:rsidRDefault="008A504A">
            <w:pPr>
              <w:spacing w:before="40" w:after="40"/>
              <w:rPr>
                <w:rFonts w:ascii="Times New Roman" w:hAnsi="Times New Roman" w:cs="Times New Roman"/>
                <w:sz w:val="22"/>
                <w:szCs w:val="22"/>
              </w:rPr>
            </w:pPr>
          </w:p>
        </w:tc>
      </w:tr>
      <w:tr w:rsidR="008A504A" w:rsidRPr="00211073" w14:paraId="191C87B4" w14:textId="77777777" w:rsidTr="002E467D">
        <w:tc>
          <w:tcPr>
            <w:tcW w:w="10592" w:type="dxa"/>
            <w:gridSpan w:val="6"/>
            <w:shd w:val="clear" w:color="auto" w:fill="A6A6A6"/>
            <w:tcMar>
              <w:top w:w="40" w:type="dxa"/>
              <w:left w:w="80" w:type="dxa"/>
              <w:bottom w:w="40" w:type="dxa"/>
              <w:right w:w="80" w:type="dxa"/>
            </w:tcMar>
            <w:vAlign w:val="center"/>
          </w:tcPr>
          <w:p w14:paraId="5016E35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SECTION TECHNIQUE N° 4 – MENUISERIES EXTÉRIEURES ET ESCALIER (performances mini : Uw ≤ 1,3 W/m².K ; Sw ≥ 0,30 ; Ug ≤ 1,1 ; A*3 ; E*7B ; V*A2 ; Rw ≥ 30 dB)</w:t>
            </w:r>
          </w:p>
        </w:tc>
      </w:tr>
      <w:tr w:rsidR="008A504A" w:rsidRPr="00211073" w14:paraId="5F0D9057" w14:textId="77777777" w:rsidTr="002E467D">
        <w:tc>
          <w:tcPr>
            <w:tcW w:w="10592" w:type="dxa"/>
            <w:gridSpan w:val="6"/>
            <w:shd w:val="clear" w:color="auto" w:fill="BFBFBF"/>
            <w:tcMar>
              <w:top w:w="40" w:type="dxa"/>
              <w:left w:w="80" w:type="dxa"/>
              <w:bottom w:w="40" w:type="dxa"/>
              <w:right w:w="80" w:type="dxa"/>
            </w:tcMar>
            <w:vAlign w:val="center"/>
          </w:tcPr>
          <w:p w14:paraId="768ECAF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 – Bâtiment 087 : fenêtres, désenfumage, portes (CCTP § 3.5.3)</w:t>
            </w:r>
          </w:p>
        </w:tc>
      </w:tr>
      <w:tr w:rsidR="008A504A" w:rsidRPr="00211073" w14:paraId="0D04463B" w14:textId="77777777" w:rsidTr="00E776C5">
        <w:tc>
          <w:tcPr>
            <w:tcW w:w="1271" w:type="dxa"/>
            <w:tcMar>
              <w:top w:w="40" w:type="dxa"/>
              <w:left w:w="80" w:type="dxa"/>
              <w:bottom w:w="40" w:type="dxa"/>
              <w:right w:w="80" w:type="dxa"/>
            </w:tcMar>
            <w:vAlign w:val="center"/>
          </w:tcPr>
          <w:p w14:paraId="26674A60"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.3.1</w:t>
            </w:r>
          </w:p>
        </w:tc>
        <w:tc>
          <w:tcPr>
            <w:tcW w:w="5103" w:type="dxa"/>
            <w:tcMar>
              <w:top w:w="40" w:type="dxa"/>
              <w:left w:w="80" w:type="dxa"/>
              <w:bottom w:w="40" w:type="dxa"/>
              <w:right w:w="80" w:type="dxa"/>
            </w:tcMar>
            <w:vAlign w:val="center"/>
          </w:tcPr>
          <w:p w14:paraId="639D068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4.1.1 – Fenêtres PVC blanc type 2050×45 avec soubassement vitré (repère 1a F-SV)</w:t>
            </w:r>
          </w:p>
          <w:p w14:paraId="1A0FADED"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Menuiseries PVC blanc RAL 9016 NF EN 12608, profilés ≥ 5 chambres, renforts galvanisés, sans plomb ; ouvrants à la française 1 ou 2 vantaux / oscillo-battants / fixes et impostes selon plans ; double vitrage faiblement émissif argon, intercalaire Warm Edge, Ug ≤ 1,1 ; vitrage feuilleté 44.2 en parties basses (&lt; 90 cm) et allèges vitrées ; crémone multipoints, ferrures OB renforcées, paumelles réglables 3D ; entrées d’air hygroréglables intégrées aux dormants (débits DTU 68.3, coordination lot technique). Quantités et types conformes aux tableaux de localisation des fenêtres types des plans de façades et de niveaux.</w:t>
            </w:r>
          </w:p>
        </w:tc>
        <w:tc>
          <w:tcPr>
            <w:tcW w:w="688" w:type="dxa"/>
            <w:tcMar>
              <w:top w:w="40" w:type="dxa"/>
              <w:left w:w="80" w:type="dxa"/>
              <w:bottom w:w="40" w:type="dxa"/>
              <w:right w:w="80" w:type="dxa"/>
            </w:tcMar>
            <w:vAlign w:val="center"/>
          </w:tcPr>
          <w:p w14:paraId="66902AD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43C99BAE"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286646EB"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6BB5DA4"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591F69C" w14:textId="77777777" w:rsidTr="00E776C5">
        <w:tc>
          <w:tcPr>
            <w:tcW w:w="1271" w:type="dxa"/>
            <w:tcMar>
              <w:top w:w="40" w:type="dxa"/>
              <w:left w:w="80" w:type="dxa"/>
              <w:bottom w:w="40" w:type="dxa"/>
              <w:right w:w="80" w:type="dxa"/>
            </w:tcMar>
            <w:vAlign w:val="center"/>
          </w:tcPr>
          <w:p w14:paraId="7806FD67"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.3.1</w:t>
            </w:r>
          </w:p>
        </w:tc>
        <w:tc>
          <w:tcPr>
            <w:tcW w:w="5103" w:type="dxa"/>
            <w:tcMar>
              <w:top w:w="40" w:type="dxa"/>
              <w:left w:w="80" w:type="dxa"/>
              <w:bottom w:w="40" w:type="dxa"/>
              <w:right w:w="80" w:type="dxa"/>
            </w:tcMar>
            <w:vAlign w:val="center"/>
          </w:tcPr>
          <w:p w14:paraId="3F344C8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4.1.2 – Fenêtres PVC blanc type 1600×45, vitrage imprimé, soubassement plein (repère 1b FVI-SP / F-SV)</w:t>
            </w:r>
          </w:p>
          <w:p w14:paraId="5469D267"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Idem article 4.1.1, dimensions 1600×45 (étage de l’extension), vitrage imprimé dans les pièces sanitaires et douches, soubassement plein ou vitré selon façade projetée.</w:t>
            </w:r>
          </w:p>
        </w:tc>
        <w:tc>
          <w:tcPr>
            <w:tcW w:w="688" w:type="dxa"/>
            <w:tcMar>
              <w:top w:w="40" w:type="dxa"/>
              <w:left w:w="80" w:type="dxa"/>
              <w:bottom w:w="40" w:type="dxa"/>
              <w:right w:w="80" w:type="dxa"/>
            </w:tcMar>
            <w:vAlign w:val="center"/>
          </w:tcPr>
          <w:p w14:paraId="7AB9AC0E"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400A91D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089CF93"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71ED3EDF"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CAEEE1F" w14:textId="77777777" w:rsidTr="00E776C5">
        <w:tc>
          <w:tcPr>
            <w:tcW w:w="1271" w:type="dxa"/>
            <w:tcMar>
              <w:top w:w="40" w:type="dxa"/>
              <w:left w:w="80" w:type="dxa"/>
              <w:bottom w:w="40" w:type="dxa"/>
              <w:right w:w="80" w:type="dxa"/>
            </w:tcMar>
            <w:vAlign w:val="center"/>
          </w:tcPr>
          <w:p w14:paraId="3BAE936B"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.3.1</w:t>
            </w:r>
          </w:p>
        </w:tc>
        <w:tc>
          <w:tcPr>
            <w:tcW w:w="5103" w:type="dxa"/>
            <w:tcMar>
              <w:top w:w="40" w:type="dxa"/>
              <w:left w:w="80" w:type="dxa"/>
              <w:bottom w:w="40" w:type="dxa"/>
              <w:right w:w="80" w:type="dxa"/>
            </w:tcMar>
            <w:vAlign w:val="center"/>
          </w:tcPr>
          <w:p w14:paraId="335A340F"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4.1.3 – Fenêtres PVC blanc type 2050×45, vitrage imprimé, soubassement plein (repère 3a FVI-SP)</w:t>
            </w:r>
          </w:p>
          <w:p w14:paraId="268BE22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Idem article 4.1.1, dimensions 2050×45, vitrage imprimé (RDC façade nord de l’extension – locaux sanitaires).</w:t>
            </w:r>
          </w:p>
        </w:tc>
        <w:tc>
          <w:tcPr>
            <w:tcW w:w="688" w:type="dxa"/>
            <w:tcMar>
              <w:top w:w="40" w:type="dxa"/>
              <w:left w:w="80" w:type="dxa"/>
              <w:bottom w:w="40" w:type="dxa"/>
              <w:right w:w="80" w:type="dxa"/>
            </w:tcMar>
            <w:vAlign w:val="center"/>
          </w:tcPr>
          <w:p w14:paraId="5F70405E"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7062518D"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6DF94A6"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4A5652AF"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6B06128" w14:textId="77777777" w:rsidTr="00E776C5">
        <w:tc>
          <w:tcPr>
            <w:tcW w:w="1271" w:type="dxa"/>
            <w:tcMar>
              <w:top w:w="40" w:type="dxa"/>
              <w:left w:w="80" w:type="dxa"/>
              <w:bottom w:w="40" w:type="dxa"/>
              <w:right w:w="80" w:type="dxa"/>
            </w:tcMar>
            <w:vAlign w:val="center"/>
          </w:tcPr>
          <w:p w14:paraId="0DF20058"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.3.2</w:t>
            </w:r>
          </w:p>
        </w:tc>
        <w:tc>
          <w:tcPr>
            <w:tcW w:w="5103" w:type="dxa"/>
            <w:tcMar>
              <w:top w:w="40" w:type="dxa"/>
              <w:left w:w="80" w:type="dxa"/>
              <w:bottom w:w="40" w:type="dxa"/>
              <w:right w:w="80" w:type="dxa"/>
            </w:tcMar>
            <w:vAlign w:val="center"/>
          </w:tcPr>
          <w:p w14:paraId="1803E4CC"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4.1.4 – Fenêtre de désenfumage de la cage d’escalier (DENFC)</w:t>
            </w:r>
          </w:p>
          <w:p w14:paraId="686D1BC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Ouvrant motorisé en partie haute conforme NF S 61-937, NF S 61-932 et NF EN 12101-2, vérin électrique 24 V ou pneumatique, liaison directe avec l’extérieur, ouverture à grand angle, surfaces géométrique et utile réglementaires ; commande manuelle (boîtier bris de glace) et automatique (détection) raccordée à une centrale de désenfumage avec alimentation de sécurité, ligne résistant au feu ; étanchéités, essais de fonctionnement (dont coupure secteur), étiquetage, fléchage, fiche de maintenance au registre de sécurité.</w:t>
            </w:r>
          </w:p>
        </w:tc>
        <w:tc>
          <w:tcPr>
            <w:tcW w:w="688" w:type="dxa"/>
            <w:tcMar>
              <w:top w:w="40" w:type="dxa"/>
              <w:left w:w="80" w:type="dxa"/>
              <w:bottom w:w="40" w:type="dxa"/>
              <w:right w:w="80" w:type="dxa"/>
            </w:tcMar>
            <w:vAlign w:val="center"/>
          </w:tcPr>
          <w:p w14:paraId="3CCEBD6A"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6245607A"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A93016A"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4A9F1DD"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09EEEDE" w14:textId="77777777" w:rsidTr="00E776C5">
        <w:tc>
          <w:tcPr>
            <w:tcW w:w="1271" w:type="dxa"/>
            <w:tcMar>
              <w:top w:w="40" w:type="dxa"/>
              <w:left w:w="80" w:type="dxa"/>
              <w:bottom w:w="40" w:type="dxa"/>
              <w:right w:w="80" w:type="dxa"/>
            </w:tcMar>
            <w:vAlign w:val="center"/>
          </w:tcPr>
          <w:p w14:paraId="478C2C60"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.3.3</w:t>
            </w:r>
          </w:p>
        </w:tc>
        <w:tc>
          <w:tcPr>
            <w:tcW w:w="5103" w:type="dxa"/>
            <w:tcMar>
              <w:top w:w="40" w:type="dxa"/>
              <w:left w:w="80" w:type="dxa"/>
              <w:bottom w:w="40" w:type="dxa"/>
              <w:right w:w="80" w:type="dxa"/>
            </w:tcMar>
            <w:vAlign w:val="center"/>
          </w:tcPr>
          <w:p w14:paraId="678F277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4.1.5 – Po</w:t>
            </w:r>
            <w:r w:rsidR="00B8178E">
              <w:rPr>
                <w:rFonts w:ascii="Times New Roman" w:hAnsi="Times New Roman" w:cs="Times New Roman"/>
                <w:b/>
                <w:bCs/>
                <w:sz w:val="22"/>
                <w:szCs w:val="22"/>
              </w:rPr>
              <w:t xml:space="preserve">rtes d’entrée aluminium – bât. </w:t>
            </w:r>
            <w:r w:rsidRPr="00211073">
              <w:rPr>
                <w:rFonts w:ascii="Times New Roman" w:hAnsi="Times New Roman" w:cs="Times New Roman"/>
                <w:b/>
                <w:bCs/>
                <w:sz w:val="22"/>
                <w:szCs w:val="22"/>
              </w:rPr>
              <w:t>87</w:t>
            </w:r>
          </w:p>
          <w:p w14:paraId="79EA73E5"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Entrée principale, entrée bureau RDC, salle de convivialité : aluminium à rupture de pont thermique, dormant et ouvrant renforcés, imposte vitrée, soubassement plein, dimensions selon plans (dont porte TIERCE vitrée 2050×1,30 avec imposte haute vitrée suivant repères des plans) ; serrure multipoints ≥ 3 points, cylindre de sûreté sur organigramme du site, 5 clés, ferme-porte, paumelles renforcées, seuil PMR à rupture de pont thermique ressaut ≤ 2 cm, vitrage feuilleté de sécurité le cas échéant ; performances AEV et thermiques conformes au tableau du CCTP.</w:t>
            </w:r>
          </w:p>
        </w:tc>
        <w:tc>
          <w:tcPr>
            <w:tcW w:w="688" w:type="dxa"/>
            <w:tcMar>
              <w:top w:w="40" w:type="dxa"/>
              <w:left w:w="80" w:type="dxa"/>
              <w:bottom w:w="40" w:type="dxa"/>
              <w:right w:w="80" w:type="dxa"/>
            </w:tcMar>
            <w:vAlign w:val="center"/>
          </w:tcPr>
          <w:p w14:paraId="326D0CB5"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1C8D409E"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1F49E19"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06227D5"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1A1CF27" w14:textId="77777777" w:rsidTr="00E776C5">
        <w:tc>
          <w:tcPr>
            <w:tcW w:w="1271" w:type="dxa"/>
            <w:tcMar>
              <w:top w:w="40" w:type="dxa"/>
              <w:left w:w="80" w:type="dxa"/>
              <w:bottom w:w="40" w:type="dxa"/>
              <w:right w:w="80" w:type="dxa"/>
            </w:tcMar>
            <w:vAlign w:val="center"/>
          </w:tcPr>
          <w:p w14:paraId="4C3EA858"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.3.4</w:t>
            </w:r>
          </w:p>
        </w:tc>
        <w:tc>
          <w:tcPr>
            <w:tcW w:w="5103" w:type="dxa"/>
            <w:tcMar>
              <w:top w:w="40" w:type="dxa"/>
              <w:left w:w="80" w:type="dxa"/>
              <w:bottom w:w="40" w:type="dxa"/>
              <w:right w:w="80" w:type="dxa"/>
            </w:tcMar>
            <w:vAlign w:val="center"/>
          </w:tcPr>
          <w:p w14:paraId="1ACD0ED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4.1.6 – Portes d’issue de secours aluminium avec tierce (R+1)</w:t>
            </w:r>
          </w:p>
          <w:p w14:paraId="47BE090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Portes vitrées à un vantail avec tierce (vantail semi-fixe), dont une avec imposte vitrée ; barre anti-panique NF EN 1125, ouverture vers l’extérieur dans le sens de l’évacuation, ferme-porte, joints périphériques, degré coupe-feu (EI) si requis par le règlement de sécurité incendie ; signalétique d’évacuation associée (coordination lot électricité pour BAES).</w:t>
            </w:r>
          </w:p>
        </w:tc>
        <w:tc>
          <w:tcPr>
            <w:tcW w:w="688" w:type="dxa"/>
            <w:tcMar>
              <w:top w:w="40" w:type="dxa"/>
              <w:left w:w="80" w:type="dxa"/>
              <w:bottom w:w="40" w:type="dxa"/>
              <w:right w:w="80" w:type="dxa"/>
            </w:tcMar>
            <w:vAlign w:val="center"/>
          </w:tcPr>
          <w:p w14:paraId="606DCFC6"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6FC8C48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04287AF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20010176"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105FC21D" w14:textId="77777777" w:rsidTr="00E776C5">
        <w:tc>
          <w:tcPr>
            <w:tcW w:w="1271" w:type="dxa"/>
            <w:tcMar>
              <w:top w:w="40" w:type="dxa"/>
              <w:left w:w="80" w:type="dxa"/>
              <w:bottom w:w="40" w:type="dxa"/>
              <w:right w:w="80" w:type="dxa"/>
            </w:tcMar>
            <w:vAlign w:val="center"/>
          </w:tcPr>
          <w:p w14:paraId="1794E95B"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.3.5</w:t>
            </w:r>
          </w:p>
        </w:tc>
        <w:tc>
          <w:tcPr>
            <w:tcW w:w="5103" w:type="dxa"/>
            <w:tcMar>
              <w:top w:w="40" w:type="dxa"/>
              <w:left w:w="80" w:type="dxa"/>
              <w:bottom w:w="40" w:type="dxa"/>
              <w:right w:w="80" w:type="dxa"/>
            </w:tcMar>
            <w:vAlign w:val="center"/>
          </w:tcPr>
          <w:p w14:paraId="46C907E6"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4.1.7 – Porte acier du local sous-station</w:t>
            </w:r>
          </w:p>
          <w:p w14:paraId="2940D31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Porte technique acier, dormant acier, isolation et joints adaptés, grilles ou ouïes de ventilation basse et haute selon besoins de la sous-station (coordination lot technique), serrure de sûreté sur organigramme, ferme-porte, finition thermolaquée teinte RAL au choix du maître d’œuvre.</w:t>
            </w:r>
          </w:p>
        </w:tc>
        <w:tc>
          <w:tcPr>
            <w:tcW w:w="688" w:type="dxa"/>
            <w:tcMar>
              <w:top w:w="40" w:type="dxa"/>
              <w:left w:w="80" w:type="dxa"/>
              <w:bottom w:w="40" w:type="dxa"/>
              <w:right w:w="80" w:type="dxa"/>
            </w:tcMar>
            <w:vAlign w:val="center"/>
          </w:tcPr>
          <w:p w14:paraId="36EF7067"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1AB7DEBC"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1AE8986F"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82C8E66"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57EAD94" w14:textId="77777777" w:rsidTr="00E776C5">
        <w:tc>
          <w:tcPr>
            <w:tcW w:w="1271" w:type="dxa"/>
            <w:tcMar>
              <w:top w:w="40" w:type="dxa"/>
              <w:left w:w="80" w:type="dxa"/>
              <w:bottom w:w="40" w:type="dxa"/>
              <w:right w:w="80" w:type="dxa"/>
            </w:tcMar>
            <w:vAlign w:val="center"/>
          </w:tcPr>
          <w:p w14:paraId="44A68AF5"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.3.6</w:t>
            </w:r>
          </w:p>
        </w:tc>
        <w:tc>
          <w:tcPr>
            <w:tcW w:w="5103" w:type="dxa"/>
            <w:tcMar>
              <w:top w:w="40" w:type="dxa"/>
              <w:left w:w="80" w:type="dxa"/>
              <w:bottom w:w="40" w:type="dxa"/>
              <w:right w:w="80" w:type="dxa"/>
            </w:tcMar>
            <w:vAlign w:val="center"/>
          </w:tcPr>
          <w:p w14:paraId="442DAA3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4.1.8 – Porte acier du local de stockage extérieur</w:t>
            </w:r>
          </w:p>
          <w:p w14:paraId="26E84904"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Porte acier thermolaqué robuste, serrure de sûreté, ferme-porte, ventilation, seuil et étanchéité adaptés à un local extérieur, RAL au choix du maître d’œuvre.</w:t>
            </w:r>
          </w:p>
        </w:tc>
        <w:tc>
          <w:tcPr>
            <w:tcW w:w="688" w:type="dxa"/>
            <w:tcMar>
              <w:top w:w="40" w:type="dxa"/>
              <w:left w:w="80" w:type="dxa"/>
              <w:bottom w:w="40" w:type="dxa"/>
              <w:right w:w="80" w:type="dxa"/>
            </w:tcMar>
            <w:vAlign w:val="center"/>
          </w:tcPr>
          <w:p w14:paraId="3845DF0B"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6B8A7280"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957799C"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6BE118B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6845D8F6" w14:textId="77777777" w:rsidTr="00E776C5">
        <w:tc>
          <w:tcPr>
            <w:tcW w:w="1271" w:type="dxa"/>
            <w:tcMar>
              <w:top w:w="40" w:type="dxa"/>
              <w:left w:w="80" w:type="dxa"/>
              <w:bottom w:w="40" w:type="dxa"/>
              <w:right w:w="80" w:type="dxa"/>
            </w:tcMar>
            <w:vAlign w:val="center"/>
          </w:tcPr>
          <w:p w14:paraId="57D5D31E" w14:textId="77777777" w:rsidR="008A504A" w:rsidRPr="00211073" w:rsidRDefault="002E467D">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.3.7</w:t>
            </w:r>
          </w:p>
        </w:tc>
        <w:tc>
          <w:tcPr>
            <w:tcW w:w="5103" w:type="dxa"/>
            <w:tcMar>
              <w:top w:w="40" w:type="dxa"/>
              <w:left w:w="80" w:type="dxa"/>
              <w:bottom w:w="40" w:type="dxa"/>
              <w:right w:w="80" w:type="dxa"/>
            </w:tcMar>
            <w:vAlign w:val="center"/>
          </w:tcPr>
          <w:p w14:paraId="4111034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4.1.9 – Pose, étanchéité et finitions des menuiseries – bât. 087</w:t>
            </w:r>
          </w:p>
          <w:p w14:paraId="44B6E14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Pose en applique ou en tunnel selon configuration, calage sur cales PEHD, fixation mécanique DTU 36.5 (équerres tous les 60 cm environ), étanchéité périphérique à l’air et à l’eau (membrane / compribande + fond de joint + mastic), tapées d’isolation, appuis, bavettes, rejingots, habillages intérieurs/extérieurs, raccords avec l’enduit, protection jusqu’à réception, retrait des films et nettoyage sans rayure.</w:t>
            </w:r>
          </w:p>
        </w:tc>
        <w:tc>
          <w:tcPr>
            <w:tcW w:w="688" w:type="dxa"/>
            <w:tcMar>
              <w:top w:w="40" w:type="dxa"/>
              <w:left w:w="80" w:type="dxa"/>
              <w:bottom w:w="40" w:type="dxa"/>
              <w:right w:w="80" w:type="dxa"/>
            </w:tcMar>
            <w:vAlign w:val="center"/>
          </w:tcPr>
          <w:p w14:paraId="36EC5221"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23179BD3"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BC1AD57"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023CB95"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64642C8" w14:textId="77777777" w:rsidTr="002E467D">
        <w:tc>
          <w:tcPr>
            <w:tcW w:w="10592" w:type="dxa"/>
            <w:gridSpan w:val="6"/>
            <w:shd w:val="clear" w:color="auto" w:fill="BFBFBF"/>
            <w:tcMar>
              <w:top w:w="40" w:type="dxa"/>
              <w:left w:w="80" w:type="dxa"/>
              <w:bottom w:w="40" w:type="dxa"/>
              <w:right w:w="80" w:type="dxa"/>
            </w:tcMar>
            <w:vAlign w:val="center"/>
          </w:tcPr>
          <w:p w14:paraId="5AA13A4B"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4.2 – Bâtiment H : portes d’entrée et porte de la salle de convivialité (CCTP § 3.5.4)</w:t>
            </w:r>
          </w:p>
        </w:tc>
      </w:tr>
      <w:tr w:rsidR="008A504A" w:rsidRPr="00211073" w14:paraId="7971D15C" w14:textId="77777777" w:rsidTr="00E776C5">
        <w:tc>
          <w:tcPr>
            <w:tcW w:w="1271" w:type="dxa"/>
            <w:tcMar>
              <w:top w:w="40" w:type="dxa"/>
              <w:left w:w="80" w:type="dxa"/>
              <w:bottom w:w="40" w:type="dxa"/>
              <w:right w:w="80" w:type="dxa"/>
            </w:tcMar>
            <w:vAlign w:val="center"/>
          </w:tcPr>
          <w:p w14:paraId="007CF64F" w14:textId="77777777" w:rsidR="008A504A" w:rsidRPr="00211073" w:rsidRDefault="0070536B">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.4.1</w:t>
            </w:r>
          </w:p>
        </w:tc>
        <w:tc>
          <w:tcPr>
            <w:tcW w:w="5103" w:type="dxa"/>
            <w:tcMar>
              <w:top w:w="40" w:type="dxa"/>
              <w:left w:w="80" w:type="dxa"/>
              <w:bottom w:w="40" w:type="dxa"/>
              <w:right w:w="80" w:type="dxa"/>
            </w:tcMar>
            <w:vAlign w:val="center"/>
          </w:tcPr>
          <w:p w14:paraId="5501EDB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4.2.1 – Portes d’entrée aluminium – bât. H</w:t>
            </w:r>
          </w:p>
          <w:p w14:paraId="46098E7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Aluminium à rupture de pont thermique, serrure multipoints, cylindre de sûreté, ferme-porte, paumelles renforcées, 5 clés, seuil PMR ressaut ≤ 2 cm, largeur de passage accessible, vitrage feuilleté de sécurité le cas échéant ; performances AEV et thermiques conformes ; y compris portes à changer repérées aux plans état futur (porte vitrée 2150×1000 PVC avec soubassement plein et porte avec barre anti-panique selon repères des plans).</w:t>
            </w:r>
          </w:p>
        </w:tc>
        <w:tc>
          <w:tcPr>
            <w:tcW w:w="688" w:type="dxa"/>
            <w:tcMar>
              <w:top w:w="40" w:type="dxa"/>
              <w:left w:w="80" w:type="dxa"/>
              <w:bottom w:w="40" w:type="dxa"/>
              <w:right w:w="80" w:type="dxa"/>
            </w:tcMar>
            <w:vAlign w:val="center"/>
          </w:tcPr>
          <w:p w14:paraId="77AAB893"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6B77E7B2"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72008116"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86518B7"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58E1FCF" w14:textId="77777777" w:rsidTr="00E776C5">
        <w:tc>
          <w:tcPr>
            <w:tcW w:w="1271" w:type="dxa"/>
            <w:tcMar>
              <w:top w:w="40" w:type="dxa"/>
              <w:left w:w="80" w:type="dxa"/>
              <w:bottom w:w="40" w:type="dxa"/>
              <w:right w:w="80" w:type="dxa"/>
            </w:tcMar>
            <w:vAlign w:val="center"/>
          </w:tcPr>
          <w:p w14:paraId="1E79AF0F" w14:textId="77777777" w:rsidR="008A504A" w:rsidRPr="00211073" w:rsidRDefault="0070536B">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.4.2</w:t>
            </w:r>
          </w:p>
        </w:tc>
        <w:tc>
          <w:tcPr>
            <w:tcW w:w="5103" w:type="dxa"/>
            <w:tcMar>
              <w:top w:w="40" w:type="dxa"/>
              <w:left w:w="80" w:type="dxa"/>
              <w:bottom w:w="40" w:type="dxa"/>
              <w:right w:w="80" w:type="dxa"/>
            </w:tcMar>
            <w:vAlign w:val="center"/>
          </w:tcPr>
          <w:p w14:paraId="3D3D9702"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4.2.2 – Porte extérieure de la salle de convivialité</w:t>
            </w:r>
          </w:p>
          <w:p w14:paraId="7ED70948"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Porte aluminium semi-vitrée à rupture de pont thermique, seuil PMR, quincaillerie de sûreté, ferme-porte, joints périphériques, teinte et aspect en harmonie avec la façade (création de l’ouverture traitée à la section technique 2 ; reprise des chéneaux/descentes à la section technique 3).</w:t>
            </w:r>
          </w:p>
        </w:tc>
        <w:tc>
          <w:tcPr>
            <w:tcW w:w="688" w:type="dxa"/>
            <w:tcMar>
              <w:top w:w="40" w:type="dxa"/>
              <w:left w:w="80" w:type="dxa"/>
              <w:bottom w:w="40" w:type="dxa"/>
              <w:right w:w="80" w:type="dxa"/>
            </w:tcMar>
            <w:vAlign w:val="center"/>
          </w:tcPr>
          <w:p w14:paraId="1A8BFC08"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u</w:t>
            </w:r>
          </w:p>
        </w:tc>
        <w:tc>
          <w:tcPr>
            <w:tcW w:w="992" w:type="dxa"/>
            <w:tcMar>
              <w:top w:w="40" w:type="dxa"/>
              <w:left w:w="80" w:type="dxa"/>
              <w:bottom w:w="40" w:type="dxa"/>
              <w:right w:w="80" w:type="dxa"/>
            </w:tcMar>
            <w:vAlign w:val="center"/>
          </w:tcPr>
          <w:p w14:paraId="07506F8A"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3D3B030"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5B1AFDF9"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1514F9B" w14:textId="77777777" w:rsidTr="00E776C5">
        <w:tc>
          <w:tcPr>
            <w:tcW w:w="1271" w:type="dxa"/>
            <w:tcMar>
              <w:top w:w="40" w:type="dxa"/>
              <w:left w:w="80" w:type="dxa"/>
              <w:bottom w:w="40" w:type="dxa"/>
              <w:right w:w="80" w:type="dxa"/>
            </w:tcMar>
            <w:vAlign w:val="center"/>
          </w:tcPr>
          <w:p w14:paraId="286726B0" w14:textId="77777777" w:rsidR="008A504A" w:rsidRPr="00211073" w:rsidRDefault="0070536B">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.4.3</w:t>
            </w:r>
          </w:p>
        </w:tc>
        <w:tc>
          <w:tcPr>
            <w:tcW w:w="5103" w:type="dxa"/>
            <w:tcMar>
              <w:top w:w="40" w:type="dxa"/>
              <w:left w:w="80" w:type="dxa"/>
              <w:bottom w:w="40" w:type="dxa"/>
              <w:right w:w="80" w:type="dxa"/>
            </w:tcMar>
            <w:vAlign w:val="center"/>
          </w:tcPr>
          <w:p w14:paraId="1843E34A"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4.2.3 – Pose et finitions – bât. H</w:t>
            </w:r>
          </w:p>
          <w:p w14:paraId="7F734DF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Pose DTU 36.5, calage, fixation mécanique, étanchéité périphérique (compribande + mastic), raccords soignés avec les supports existants (tableaux, appuis, enduits), habillages et bavettes, nettoyage et protection jusqu’à réception.</w:t>
            </w:r>
          </w:p>
        </w:tc>
        <w:tc>
          <w:tcPr>
            <w:tcW w:w="688" w:type="dxa"/>
            <w:tcMar>
              <w:top w:w="40" w:type="dxa"/>
              <w:left w:w="80" w:type="dxa"/>
              <w:bottom w:w="40" w:type="dxa"/>
              <w:right w:w="80" w:type="dxa"/>
            </w:tcMar>
            <w:vAlign w:val="center"/>
          </w:tcPr>
          <w:p w14:paraId="0582225F"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6C6D47E3"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376BC434"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3C52D8B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33E8F41" w14:textId="77777777" w:rsidTr="002E467D">
        <w:tc>
          <w:tcPr>
            <w:tcW w:w="10592" w:type="dxa"/>
            <w:gridSpan w:val="6"/>
            <w:shd w:val="clear" w:color="auto" w:fill="BFBFBF"/>
            <w:tcMar>
              <w:top w:w="40" w:type="dxa"/>
              <w:left w:w="80" w:type="dxa"/>
              <w:bottom w:w="40" w:type="dxa"/>
              <w:right w:w="80" w:type="dxa"/>
            </w:tcMar>
            <w:vAlign w:val="center"/>
          </w:tcPr>
          <w:p w14:paraId="3767C6B3"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4.3 – Escalier extérieur métallique sur socle béton – façade Nord (CCTP § 3.5.5)</w:t>
            </w:r>
          </w:p>
        </w:tc>
      </w:tr>
      <w:tr w:rsidR="008A504A" w:rsidRPr="00211073" w14:paraId="64045760" w14:textId="77777777" w:rsidTr="00E776C5">
        <w:tc>
          <w:tcPr>
            <w:tcW w:w="1271" w:type="dxa"/>
            <w:tcMar>
              <w:top w:w="40" w:type="dxa"/>
              <w:left w:w="80" w:type="dxa"/>
              <w:bottom w:w="40" w:type="dxa"/>
              <w:right w:w="80" w:type="dxa"/>
            </w:tcMar>
            <w:vAlign w:val="center"/>
          </w:tcPr>
          <w:p w14:paraId="320A7C5E" w14:textId="77777777" w:rsidR="008A504A" w:rsidRPr="00211073" w:rsidRDefault="0070536B">
            <w:pPr>
              <w:spacing w:before="40" w:after="40"/>
              <w:jc w:val="center"/>
              <w:rPr>
                <w:rFonts w:ascii="Times New Roman" w:hAnsi="Times New Roman" w:cs="Times New Roman"/>
                <w:sz w:val="22"/>
                <w:szCs w:val="22"/>
              </w:rPr>
            </w:pPr>
            <w:r>
              <w:rPr>
                <w:rFonts w:ascii="Times New Roman" w:hAnsi="Times New Roman" w:cs="Times New Roman"/>
                <w:sz w:val="22"/>
                <w:szCs w:val="22"/>
              </w:rPr>
              <w:t>3.4</w:t>
            </w:r>
            <w:r w:rsidR="003B730A" w:rsidRPr="00211073">
              <w:rPr>
                <w:rFonts w:ascii="Times New Roman" w:hAnsi="Times New Roman" w:cs="Times New Roman"/>
                <w:sz w:val="22"/>
                <w:szCs w:val="22"/>
              </w:rPr>
              <w:t>.5</w:t>
            </w:r>
          </w:p>
        </w:tc>
        <w:tc>
          <w:tcPr>
            <w:tcW w:w="5103" w:type="dxa"/>
            <w:tcMar>
              <w:top w:w="40" w:type="dxa"/>
              <w:left w:w="80" w:type="dxa"/>
              <w:bottom w:w="40" w:type="dxa"/>
              <w:right w:w="80" w:type="dxa"/>
            </w:tcMar>
            <w:vAlign w:val="center"/>
          </w:tcPr>
          <w:p w14:paraId="5751EE20"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b/>
                <w:bCs/>
                <w:sz w:val="22"/>
                <w:szCs w:val="22"/>
              </w:rPr>
              <w:t>4.3.1 – Escalier extérieur métallique de secours, complet</w:t>
            </w:r>
          </w:p>
          <w:p w14:paraId="7D292281" w14:textId="77777777" w:rsidR="008A504A" w:rsidRPr="00211073" w:rsidRDefault="003B730A" w:rsidP="00031247">
            <w:pPr>
              <w:spacing w:before="40" w:after="40"/>
              <w:jc w:val="both"/>
              <w:rPr>
                <w:rFonts w:ascii="Times New Roman" w:hAnsi="Times New Roman" w:cs="Times New Roman"/>
                <w:sz w:val="22"/>
                <w:szCs w:val="22"/>
              </w:rPr>
            </w:pPr>
            <w:r w:rsidRPr="00211073">
              <w:rPr>
                <w:rFonts w:ascii="Times New Roman" w:hAnsi="Times New Roman" w:cs="Times New Roman"/>
                <w:sz w:val="22"/>
                <w:szCs w:val="22"/>
              </w:rPr>
              <w:t>Structure en profilés acier (limons, poteaux, traverses) justifiée par note de calcul BET (Eurocodes 3 et 8, charges ≥ 2,5 kN/m²), assemblages soudés en atelier et boulonnés sur site (boulonnerie inox ou protégée), ancrage par platines et tiges (scellement chimique haute performance) sur socle béton et en façade le cas échéant (coordination des réservations avec la section technique 2) ; marches en caillebotis acier galvanisé antidérapant ou tôle larmée, nez de marche antiglisse contrasté, h ≤ 17 cm, giron ≥ 28 cm, largeur utile ≥ 1,00 m, palier au niveau desservi, départ et arrivée dégagés raccordés aux portes, emprise stabilisée ; garde-corps h ≥ 1,00 m barreaudage vertical ≤ 11 cm ou lisses, plinthe, main courante continue Ø 40 mm de part et d’autre si accessibilité requise, rampe suivant plans PC (NF P 01-012/013, NF E 85-015) ; galvanisation à chaud NF EN ISO 1461 + thermolaquage polyester ou système duplex, teinte RAL au choix du maître d’œuvre, retouches des soudures ; étiquetage de sécurité en tête et pied, coordination lot électricité (BAES, signalétique) ; contrôles de serrage, stabilité, verticalité, ancrages et soudures, PV galvanisation/peinture, certificats CE, essai de charge à réception si exigé, plans d’exécution, notes de calcul et documents au DOE.</w:t>
            </w:r>
          </w:p>
        </w:tc>
        <w:tc>
          <w:tcPr>
            <w:tcW w:w="688" w:type="dxa"/>
            <w:tcMar>
              <w:top w:w="40" w:type="dxa"/>
              <w:left w:w="80" w:type="dxa"/>
              <w:bottom w:w="40" w:type="dxa"/>
              <w:right w:w="80" w:type="dxa"/>
            </w:tcMar>
            <w:vAlign w:val="center"/>
          </w:tcPr>
          <w:p w14:paraId="2E1DA9BF" w14:textId="77777777" w:rsidR="008A504A" w:rsidRPr="00211073" w:rsidRDefault="002E467D">
            <w:pPr>
              <w:spacing w:before="40" w:after="40"/>
              <w:jc w:val="center"/>
              <w:rPr>
                <w:rFonts w:ascii="Times New Roman" w:hAnsi="Times New Roman" w:cs="Times New Roman"/>
                <w:sz w:val="22"/>
                <w:szCs w:val="22"/>
              </w:rPr>
            </w:pPr>
            <w:r w:rsidRPr="00211073">
              <w:rPr>
                <w:rFonts w:ascii="Times New Roman" w:hAnsi="Times New Roman" w:cs="Times New Roman"/>
                <w:sz w:val="22"/>
                <w:szCs w:val="22"/>
              </w:rPr>
              <w:t>ENS</w:t>
            </w:r>
          </w:p>
        </w:tc>
        <w:tc>
          <w:tcPr>
            <w:tcW w:w="992" w:type="dxa"/>
            <w:tcMar>
              <w:top w:w="40" w:type="dxa"/>
              <w:left w:w="80" w:type="dxa"/>
              <w:bottom w:w="40" w:type="dxa"/>
              <w:right w:w="80" w:type="dxa"/>
            </w:tcMar>
            <w:vAlign w:val="center"/>
          </w:tcPr>
          <w:p w14:paraId="4305DA08" w14:textId="77777777" w:rsidR="008A504A" w:rsidRPr="00211073" w:rsidRDefault="008A504A">
            <w:pPr>
              <w:spacing w:before="40" w:after="40"/>
              <w:jc w:val="center"/>
              <w:rPr>
                <w:rFonts w:ascii="Times New Roman" w:hAnsi="Times New Roman" w:cs="Times New Roman"/>
                <w:sz w:val="22"/>
                <w:szCs w:val="22"/>
              </w:rPr>
            </w:pPr>
          </w:p>
        </w:tc>
        <w:tc>
          <w:tcPr>
            <w:tcW w:w="1133" w:type="dxa"/>
            <w:tcMar>
              <w:top w:w="40" w:type="dxa"/>
              <w:left w:w="80" w:type="dxa"/>
              <w:bottom w:w="40" w:type="dxa"/>
              <w:right w:w="80" w:type="dxa"/>
            </w:tcMar>
            <w:vAlign w:val="center"/>
          </w:tcPr>
          <w:p w14:paraId="528A2FFC" w14:textId="77777777" w:rsidR="008A504A" w:rsidRPr="00211073" w:rsidRDefault="008A504A">
            <w:pPr>
              <w:spacing w:before="40" w:after="40"/>
              <w:jc w:val="right"/>
              <w:rPr>
                <w:rFonts w:ascii="Times New Roman" w:hAnsi="Times New Roman" w:cs="Times New Roman"/>
                <w:sz w:val="22"/>
                <w:szCs w:val="22"/>
              </w:rPr>
            </w:pPr>
          </w:p>
        </w:tc>
        <w:tc>
          <w:tcPr>
            <w:tcW w:w="1405" w:type="dxa"/>
            <w:tcMar>
              <w:top w:w="40" w:type="dxa"/>
              <w:left w:w="80" w:type="dxa"/>
              <w:bottom w:w="40" w:type="dxa"/>
              <w:right w:w="80" w:type="dxa"/>
            </w:tcMar>
            <w:vAlign w:val="center"/>
          </w:tcPr>
          <w:p w14:paraId="1A5FB08A"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C143238" w14:textId="77777777" w:rsidTr="00E776C5">
        <w:tc>
          <w:tcPr>
            <w:tcW w:w="1271" w:type="dxa"/>
            <w:shd w:val="clear" w:color="auto" w:fill="F2F2F2"/>
            <w:tcMar>
              <w:top w:w="40" w:type="dxa"/>
              <w:left w:w="80" w:type="dxa"/>
              <w:bottom w:w="40" w:type="dxa"/>
              <w:right w:w="80" w:type="dxa"/>
            </w:tcMar>
            <w:vAlign w:val="center"/>
          </w:tcPr>
          <w:p w14:paraId="1598F563" w14:textId="77777777" w:rsidR="008A504A" w:rsidRPr="00211073" w:rsidRDefault="008A504A">
            <w:pPr>
              <w:spacing w:before="40" w:after="40"/>
              <w:rPr>
                <w:rFonts w:ascii="Times New Roman" w:hAnsi="Times New Roman" w:cs="Times New Roman"/>
                <w:sz w:val="22"/>
                <w:szCs w:val="22"/>
              </w:rPr>
            </w:pPr>
          </w:p>
        </w:tc>
        <w:tc>
          <w:tcPr>
            <w:tcW w:w="6783" w:type="dxa"/>
            <w:gridSpan w:val="3"/>
            <w:shd w:val="clear" w:color="auto" w:fill="F2F2F2"/>
            <w:tcMar>
              <w:top w:w="40" w:type="dxa"/>
              <w:left w:w="80" w:type="dxa"/>
              <w:bottom w:w="40" w:type="dxa"/>
              <w:right w:w="80" w:type="dxa"/>
            </w:tcMar>
            <w:vAlign w:val="center"/>
          </w:tcPr>
          <w:p w14:paraId="280AA5F1" w14:textId="77777777" w:rsidR="008A504A" w:rsidRPr="00211073" w:rsidRDefault="003B730A">
            <w:pPr>
              <w:spacing w:before="40" w:after="40"/>
              <w:jc w:val="right"/>
              <w:rPr>
                <w:rFonts w:ascii="Times New Roman" w:hAnsi="Times New Roman" w:cs="Times New Roman"/>
                <w:sz w:val="22"/>
                <w:szCs w:val="22"/>
              </w:rPr>
            </w:pPr>
            <w:r w:rsidRPr="00211073">
              <w:rPr>
                <w:rFonts w:ascii="Times New Roman" w:hAnsi="Times New Roman" w:cs="Times New Roman"/>
                <w:b/>
                <w:bCs/>
                <w:sz w:val="22"/>
                <w:szCs w:val="22"/>
              </w:rPr>
              <w:t>SOUS-TOTAL SECTION TECHNIQUE N° 4 – € HT</w:t>
            </w:r>
          </w:p>
        </w:tc>
        <w:tc>
          <w:tcPr>
            <w:tcW w:w="1133" w:type="dxa"/>
            <w:shd w:val="clear" w:color="auto" w:fill="F2F2F2"/>
            <w:tcMar>
              <w:top w:w="40" w:type="dxa"/>
              <w:left w:w="80" w:type="dxa"/>
              <w:bottom w:w="40" w:type="dxa"/>
              <w:right w:w="80" w:type="dxa"/>
            </w:tcMar>
            <w:vAlign w:val="center"/>
          </w:tcPr>
          <w:p w14:paraId="3B8CD343" w14:textId="77777777" w:rsidR="008A504A" w:rsidRPr="00211073" w:rsidRDefault="008A504A">
            <w:pPr>
              <w:spacing w:before="40" w:after="40"/>
              <w:rPr>
                <w:rFonts w:ascii="Times New Roman" w:hAnsi="Times New Roman" w:cs="Times New Roman"/>
                <w:sz w:val="22"/>
                <w:szCs w:val="22"/>
              </w:rPr>
            </w:pPr>
          </w:p>
        </w:tc>
        <w:tc>
          <w:tcPr>
            <w:tcW w:w="1405" w:type="dxa"/>
            <w:shd w:val="clear" w:color="auto" w:fill="F2F2F2"/>
            <w:tcMar>
              <w:top w:w="40" w:type="dxa"/>
              <w:left w:w="80" w:type="dxa"/>
              <w:bottom w:w="40" w:type="dxa"/>
              <w:right w:w="80" w:type="dxa"/>
            </w:tcMar>
            <w:vAlign w:val="center"/>
          </w:tcPr>
          <w:p w14:paraId="24917A79" w14:textId="77777777" w:rsidR="008A504A" w:rsidRPr="00211073" w:rsidRDefault="008A504A">
            <w:pPr>
              <w:spacing w:before="40" w:after="40"/>
              <w:rPr>
                <w:rFonts w:ascii="Times New Roman" w:hAnsi="Times New Roman" w:cs="Times New Roman"/>
                <w:sz w:val="22"/>
                <w:szCs w:val="22"/>
              </w:rPr>
            </w:pPr>
          </w:p>
        </w:tc>
      </w:tr>
    </w:tbl>
    <w:p w14:paraId="2DD78C60" w14:textId="77777777" w:rsidR="008A504A" w:rsidRPr="00211073" w:rsidRDefault="008A504A">
      <w:pPr>
        <w:spacing w:before="40" w:after="120"/>
        <w:rPr>
          <w:rFonts w:ascii="Times New Roman" w:hAnsi="Times New Roman" w:cs="Times New Roman"/>
          <w:sz w:val="22"/>
          <w:szCs w:val="22"/>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066"/>
        <w:gridCol w:w="1400"/>
      </w:tblGrid>
      <w:tr w:rsidR="008A504A" w:rsidRPr="00211073" w14:paraId="10D095B6" w14:textId="77777777">
        <w:tc>
          <w:tcPr>
            <w:tcW w:w="10466" w:type="dxa"/>
            <w:gridSpan w:val="2"/>
            <w:shd w:val="clear" w:color="auto" w:fill="A6A6A6"/>
            <w:tcMar>
              <w:top w:w="40" w:type="dxa"/>
              <w:left w:w="80" w:type="dxa"/>
              <w:bottom w:w="40" w:type="dxa"/>
              <w:right w:w="80" w:type="dxa"/>
            </w:tcMar>
            <w:vAlign w:val="center"/>
          </w:tcPr>
          <w:p w14:paraId="4131066F" w14:textId="77777777" w:rsidR="008A504A" w:rsidRPr="00211073" w:rsidRDefault="003B730A">
            <w:pPr>
              <w:spacing w:before="40" w:after="40"/>
              <w:jc w:val="center"/>
              <w:rPr>
                <w:rFonts w:ascii="Times New Roman" w:hAnsi="Times New Roman" w:cs="Times New Roman"/>
                <w:sz w:val="22"/>
                <w:szCs w:val="22"/>
              </w:rPr>
            </w:pPr>
            <w:r w:rsidRPr="00211073">
              <w:rPr>
                <w:rFonts w:ascii="Times New Roman" w:hAnsi="Times New Roman" w:cs="Times New Roman"/>
                <w:b/>
                <w:bCs/>
                <w:sz w:val="22"/>
                <w:szCs w:val="22"/>
              </w:rPr>
              <w:t>RÉCAPITULATIF GÉNÉRAL – LOT N° 01 : GROS-ŒUVRE</w:t>
            </w:r>
          </w:p>
        </w:tc>
      </w:tr>
      <w:tr w:rsidR="008A504A" w:rsidRPr="00211073" w14:paraId="636DD710" w14:textId="77777777">
        <w:tc>
          <w:tcPr>
            <w:tcW w:w="9066" w:type="dxa"/>
            <w:shd w:val="clear" w:color="auto" w:fill="FFFFFF"/>
            <w:tcMar>
              <w:top w:w="40" w:type="dxa"/>
              <w:left w:w="80" w:type="dxa"/>
              <w:bottom w:w="40" w:type="dxa"/>
              <w:right w:w="80" w:type="dxa"/>
            </w:tcMar>
            <w:vAlign w:val="center"/>
          </w:tcPr>
          <w:p w14:paraId="2D0C223D" w14:textId="77777777" w:rsidR="008A504A" w:rsidRPr="00211073" w:rsidRDefault="003B730A" w:rsidP="00211073">
            <w:pPr>
              <w:spacing w:before="40" w:after="40"/>
              <w:rPr>
                <w:rFonts w:ascii="Times New Roman" w:hAnsi="Times New Roman" w:cs="Times New Roman"/>
                <w:sz w:val="22"/>
                <w:szCs w:val="22"/>
              </w:rPr>
            </w:pPr>
            <w:r w:rsidRPr="00211073">
              <w:rPr>
                <w:rFonts w:ascii="Times New Roman" w:hAnsi="Times New Roman" w:cs="Times New Roman"/>
                <w:sz w:val="22"/>
                <w:szCs w:val="22"/>
              </w:rPr>
              <w:t>Sous-total section technique n° 1 – Installation de chantier, impl</w:t>
            </w:r>
            <w:r w:rsidR="00211073">
              <w:rPr>
                <w:rFonts w:ascii="Times New Roman" w:hAnsi="Times New Roman" w:cs="Times New Roman"/>
                <w:sz w:val="22"/>
                <w:szCs w:val="22"/>
              </w:rPr>
              <w:t xml:space="preserve">antation, terrassement, VRD …€ </w:t>
            </w:r>
            <w:r w:rsidRPr="00211073">
              <w:rPr>
                <w:rFonts w:ascii="Times New Roman" w:hAnsi="Times New Roman" w:cs="Times New Roman"/>
                <w:sz w:val="22"/>
                <w:szCs w:val="22"/>
              </w:rPr>
              <w:t>HT</w:t>
            </w:r>
          </w:p>
        </w:tc>
        <w:tc>
          <w:tcPr>
            <w:tcW w:w="1400" w:type="dxa"/>
            <w:shd w:val="clear" w:color="auto" w:fill="FFFFFF"/>
            <w:tcMar>
              <w:top w:w="40" w:type="dxa"/>
              <w:left w:w="80" w:type="dxa"/>
              <w:bottom w:w="40" w:type="dxa"/>
              <w:right w:w="80" w:type="dxa"/>
            </w:tcMar>
            <w:vAlign w:val="center"/>
          </w:tcPr>
          <w:p w14:paraId="458A3DB3"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7926DC2D" w14:textId="77777777">
        <w:tc>
          <w:tcPr>
            <w:tcW w:w="9066" w:type="dxa"/>
            <w:shd w:val="clear" w:color="auto" w:fill="FFFFFF"/>
            <w:tcMar>
              <w:top w:w="40" w:type="dxa"/>
              <w:left w:w="80" w:type="dxa"/>
              <w:bottom w:w="40" w:type="dxa"/>
              <w:right w:w="80" w:type="dxa"/>
            </w:tcMar>
            <w:vAlign w:val="center"/>
          </w:tcPr>
          <w:p w14:paraId="07E07541" w14:textId="77777777" w:rsidR="008A504A" w:rsidRPr="00211073" w:rsidRDefault="003B730A" w:rsidP="00211073">
            <w:pPr>
              <w:spacing w:before="40" w:after="40"/>
              <w:rPr>
                <w:rFonts w:ascii="Times New Roman" w:hAnsi="Times New Roman" w:cs="Times New Roman"/>
                <w:sz w:val="22"/>
                <w:szCs w:val="22"/>
              </w:rPr>
            </w:pPr>
            <w:r w:rsidRPr="00211073">
              <w:rPr>
                <w:rFonts w:ascii="Times New Roman" w:hAnsi="Times New Roman" w:cs="Times New Roman"/>
                <w:sz w:val="22"/>
                <w:szCs w:val="22"/>
              </w:rPr>
              <w:t>Sous-total section technique n° 2 – Maçonnerie et enduit extérieur … € HT</w:t>
            </w:r>
          </w:p>
        </w:tc>
        <w:tc>
          <w:tcPr>
            <w:tcW w:w="1400" w:type="dxa"/>
            <w:shd w:val="clear" w:color="auto" w:fill="FFFFFF"/>
            <w:tcMar>
              <w:top w:w="40" w:type="dxa"/>
              <w:left w:w="80" w:type="dxa"/>
              <w:bottom w:w="40" w:type="dxa"/>
              <w:right w:w="80" w:type="dxa"/>
            </w:tcMar>
            <w:vAlign w:val="center"/>
          </w:tcPr>
          <w:p w14:paraId="48FEFC6E"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54F62D44" w14:textId="77777777">
        <w:tc>
          <w:tcPr>
            <w:tcW w:w="9066" w:type="dxa"/>
            <w:shd w:val="clear" w:color="auto" w:fill="FFFFFF"/>
            <w:tcMar>
              <w:top w:w="40" w:type="dxa"/>
              <w:left w:w="80" w:type="dxa"/>
              <w:bottom w:w="40" w:type="dxa"/>
              <w:right w:w="80" w:type="dxa"/>
            </w:tcMar>
            <w:vAlign w:val="center"/>
          </w:tcPr>
          <w:p w14:paraId="62D9B0D8" w14:textId="77777777" w:rsidR="008A504A" w:rsidRPr="00211073" w:rsidRDefault="003B730A" w:rsidP="00211073">
            <w:pPr>
              <w:spacing w:before="40" w:after="40"/>
              <w:rPr>
                <w:rFonts w:ascii="Times New Roman" w:hAnsi="Times New Roman" w:cs="Times New Roman"/>
                <w:sz w:val="22"/>
                <w:szCs w:val="22"/>
              </w:rPr>
            </w:pPr>
            <w:r w:rsidRPr="00211073">
              <w:rPr>
                <w:rFonts w:ascii="Times New Roman" w:hAnsi="Times New Roman" w:cs="Times New Roman"/>
                <w:sz w:val="22"/>
                <w:szCs w:val="22"/>
              </w:rPr>
              <w:t>Sous-total section technique n° 3 – Étanchéité et zinguerie … € HT</w:t>
            </w:r>
          </w:p>
        </w:tc>
        <w:tc>
          <w:tcPr>
            <w:tcW w:w="1400" w:type="dxa"/>
            <w:shd w:val="clear" w:color="auto" w:fill="FFFFFF"/>
            <w:tcMar>
              <w:top w:w="40" w:type="dxa"/>
              <w:left w:w="80" w:type="dxa"/>
              <w:bottom w:w="40" w:type="dxa"/>
              <w:right w:w="80" w:type="dxa"/>
            </w:tcMar>
            <w:vAlign w:val="center"/>
          </w:tcPr>
          <w:p w14:paraId="54622A1B"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3B23310E" w14:textId="77777777">
        <w:tc>
          <w:tcPr>
            <w:tcW w:w="9066" w:type="dxa"/>
            <w:shd w:val="clear" w:color="auto" w:fill="FFFFFF"/>
            <w:tcMar>
              <w:top w:w="40" w:type="dxa"/>
              <w:left w:w="80" w:type="dxa"/>
              <w:bottom w:w="40" w:type="dxa"/>
              <w:right w:w="80" w:type="dxa"/>
            </w:tcMar>
            <w:vAlign w:val="center"/>
          </w:tcPr>
          <w:p w14:paraId="03337348" w14:textId="77777777" w:rsidR="008A504A" w:rsidRPr="00211073" w:rsidRDefault="003B730A" w:rsidP="00211073">
            <w:pPr>
              <w:spacing w:before="40" w:after="40"/>
              <w:rPr>
                <w:rFonts w:ascii="Times New Roman" w:hAnsi="Times New Roman" w:cs="Times New Roman"/>
                <w:sz w:val="22"/>
                <w:szCs w:val="22"/>
              </w:rPr>
            </w:pPr>
            <w:r w:rsidRPr="00211073">
              <w:rPr>
                <w:rFonts w:ascii="Times New Roman" w:hAnsi="Times New Roman" w:cs="Times New Roman"/>
                <w:sz w:val="22"/>
                <w:szCs w:val="22"/>
              </w:rPr>
              <w:t>Sous-total section technique n° 4 – Menuiseries extérieures, escalier … € HT</w:t>
            </w:r>
          </w:p>
        </w:tc>
        <w:tc>
          <w:tcPr>
            <w:tcW w:w="1400" w:type="dxa"/>
            <w:shd w:val="clear" w:color="auto" w:fill="FFFFFF"/>
            <w:tcMar>
              <w:top w:w="40" w:type="dxa"/>
              <w:left w:w="80" w:type="dxa"/>
              <w:bottom w:w="40" w:type="dxa"/>
              <w:right w:w="80" w:type="dxa"/>
            </w:tcMar>
            <w:vAlign w:val="center"/>
          </w:tcPr>
          <w:p w14:paraId="67DA420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26D70F7A" w14:textId="77777777">
        <w:tc>
          <w:tcPr>
            <w:tcW w:w="9066" w:type="dxa"/>
            <w:shd w:val="clear" w:color="auto" w:fill="D9D9D9"/>
            <w:tcMar>
              <w:top w:w="40" w:type="dxa"/>
              <w:left w:w="80" w:type="dxa"/>
              <w:bottom w:w="40" w:type="dxa"/>
              <w:right w:w="80" w:type="dxa"/>
            </w:tcMar>
            <w:vAlign w:val="center"/>
          </w:tcPr>
          <w:p w14:paraId="501DA6E6" w14:textId="77777777" w:rsidR="008A504A" w:rsidRPr="00211073" w:rsidRDefault="003B730A">
            <w:pPr>
              <w:spacing w:before="40" w:after="40"/>
              <w:jc w:val="right"/>
              <w:rPr>
                <w:rFonts w:ascii="Times New Roman" w:hAnsi="Times New Roman" w:cs="Times New Roman"/>
                <w:sz w:val="22"/>
                <w:szCs w:val="22"/>
              </w:rPr>
            </w:pPr>
            <w:r w:rsidRPr="00211073">
              <w:rPr>
                <w:rFonts w:ascii="Times New Roman" w:hAnsi="Times New Roman" w:cs="Times New Roman"/>
                <w:b/>
                <w:bCs/>
                <w:sz w:val="22"/>
                <w:szCs w:val="22"/>
              </w:rPr>
              <w:t>TOTAL GÉNÉRAL € HT</w:t>
            </w:r>
          </w:p>
        </w:tc>
        <w:tc>
          <w:tcPr>
            <w:tcW w:w="1400" w:type="dxa"/>
            <w:shd w:val="clear" w:color="auto" w:fill="D9D9D9"/>
            <w:tcMar>
              <w:top w:w="40" w:type="dxa"/>
              <w:left w:w="80" w:type="dxa"/>
              <w:bottom w:w="40" w:type="dxa"/>
              <w:right w:w="80" w:type="dxa"/>
            </w:tcMar>
            <w:vAlign w:val="center"/>
          </w:tcPr>
          <w:p w14:paraId="1C98A3F8"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C8364AB" w14:textId="77777777">
        <w:tc>
          <w:tcPr>
            <w:tcW w:w="9066" w:type="dxa"/>
            <w:shd w:val="clear" w:color="auto" w:fill="D9D9D9"/>
            <w:tcMar>
              <w:top w:w="40" w:type="dxa"/>
              <w:left w:w="80" w:type="dxa"/>
              <w:bottom w:w="40" w:type="dxa"/>
              <w:right w:w="80" w:type="dxa"/>
            </w:tcMar>
            <w:vAlign w:val="center"/>
          </w:tcPr>
          <w:p w14:paraId="23797F82" w14:textId="77777777" w:rsidR="008A504A" w:rsidRPr="00211073" w:rsidRDefault="003B730A">
            <w:pPr>
              <w:spacing w:before="40" w:after="40"/>
              <w:jc w:val="right"/>
              <w:rPr>
                <w:rFonts w:ascii="Times New Roman" w:hAnsi="Times New Roman" w:cs="Times New Roman"/>
                <w:sz w:val="22"/>
                <w:szCs w:val="22"/>
              </w:rPr>
            </w:pPr>
            <w:r w:rsidRPr="00211073">
              <w:rPr>
                <w:rFonts w:ascii="Times New Roman" w:hAnsi="Times New Roman" w:cs="Times New Roman"/>
                <w:b/>
                <w:bCs/>
                <w:sz w:val="22"/>
                <w:szCs w:val="22"/>
              </w:rPr>
              <w:t>TVA 20 %</w:t>
            </w:r>
          </w:p>
        </w:tc>
        <w:tc>
          <w:tcPr>
            <w:tcW w:w="1400" w:type="dxa"/>
            <w:shd w:val="clear" w:color="auto" w:fill="D9D9D9"/>
            <w:tcMar>
              <w:top w:w="40" w:type="dxa"/>
              <w:left w:w="80" w:type="dxa"/>
              <w:bottom w:w="40" w:type="dxa"/>
              <w:right w:w="80" w:type="dxa"/>
            </w:tcMar>
            <w:vAlign w:val="center"/>
          </w:tcPr>
          <w:p w14:paraId="071D5CF2" w14:textId="77777777" w:rsidR="008A504A" w:rsidRPr="00211073" w:rsidRDefault="008A504A">
            <w:pPr>
              <w:spacing w:before="40" w:after="40"/>
              <w:jc w:val="right"/>
              <w:rPr>
                <w:rFonts w:ascii="Times New Roman" w:hAnsi="Times New Roman" w:cs="Times New Roman"/>
                <w:sz w:val="22"/>
                <w:szCs w:val="22"/>
              </w:rPr>
            </w:pPr>
          </w:p>
        </w:tc>
      </w:tr>
      <w:tr w:rsidR="008A504A" w:rsidRPr="00211073" w14:paraId="0DE1A001" w14:textId="77777777">
        <w:tc>
          <w:tcPr>
            <w:tcW w:w="9066" w:type="dxa"/>
            <w:shd w:val="clear" w:color="auto" w:fill="D9D9D9"/>
            <w:tcMar>
              <w:top w:w="40" w:type="dxa"/>
              <w:left w:w="80" w:type="dxa"/>
              <w:bottom w:w="40" w:type="dxa"/>
              <w:right w:w="80" w:type="dxa"/>
            </w:tcMar>
            <w:vAlign w:val="center"/>
          </w:tcPr>
          <w:p w14:paraId="27B9A2CE" w14:textId="77777777" w:rsidR="008A504A" w:rsidRPr="00211073" w:rsidRDefault="003B730A">
            <w:pPr>
              <w:spacing w:before="40" w:after="40"/>
              <w:jc w:val="right"/>
              <w:rPr>
                <w:rFonts w:ascii="Times New Roman" w:hAnsi="Times New Roman" w:cs="Times New Roman"/>
                <w:sz w:val="22"/>
                <w:szCs w:val="22"/>
              </w:rPr>
            </w:pPr>
            <w:r w:rsidRPr="00211073">
              <w:rPr>
                <w:rFonts w:ascii="Times New Roman" w:hAnsi="Times New Roman" w:cs="Times New Roman"/>
                <w:b/>
                <w:bCs/>
                <w:sz w:val="22"/>
                <w:szCs w:val="22"/>
              </w:rPr>
              <w:t>TOTAL GÉNÉRAL € TTC</w:t>
            </w:r>
          </w:p>
        </w:tc>
        <w:tc>
          <w:tcPr>
            <w:tcW w:w="1400" w:type="dxa"/>
            <w:shd w:val="clear" w:color="auto" w:fill="D9D9D9"/>
            <w:tcMar>
              <w:top w:w="40" w:type="dxa"/>
              <w:left w:w="80" w:type="dxa"/>
              <w:bottom w:w="40" w:type="dxa"/>
              <w:right w:w="80" w:type="dxa"/>
            </w:tcMar>
            <w:vAlign w:val="center"/>
          </w:tcPr>
          <w:p w14:paraId="17A77289" w14:textId="77777777" w:rsidR="008A504A" w:rsidRPr="00211073" w:rsidRDefault="008A504A">
            <w:pPr>
              <w:spacing w:before="40" w:after="40"/>
              <w:jc w:val="right"/>
              <w:rPr>
                <w:rFonts w:ascii="Times New Roman" w:hAnsi="Times New Roman" w:cs="Times New Roman"/>
                <w:sz w:val="22"/>
                <w:szCs w:val="22"/>
              </w:rPr>
            </w:pPr>
          </w:p>
        </w:tc>
      </w:tr>
    </w:tbl>
    <w:p w14:paraId="23C3FC9D" w14:textId="07E141BA" w:rsidR="008A504A" w:rsidRPr="00211073" w:rsidRDefault="002D4FA7" w:rsidP="00277F68">
      <w:pPr>
        <w:spacing w:before="120" w:after="40"/>
        <w:jc w:val="both"/>
        <w:rPr>
          <w:rFonts w:ascii="Times New Roman" w:hAnsi="Times New Roman" w:cs="Times New Roman"/>
          <w:sz w:val="22"/>
          <w:szCs w:val="22"/>
        </w:rPr>
      </w:pPr>
      <w:bookmarkStart w:id="0" w:name="_GoBack"/>
      <w:bookmarkEnd w:id="0"/>
      <w:r>
        <w:rPr>
          <w:rFonts w:ascii="Times New Roman" w:hAnsi="Times New Roman" w:cs="Times New Roman"/>
          <w:i/>
          <w:iCs/>
          <w:sz w:val="22"/>
          <w:szCs w:val="22"/>
        </w:rPr>
        <w:t>Quantités à estimées</w:t>
      </w:r>
      <w:r w:rsidR="003B730A" w:rsidRPr="00211073">
        <w:rPr>
          <w:rFonts w:ascii="Times New Roman" w:hAnsi="Times New Roman" w:cs="Times New Roman"/>
          <w:i/>
          <w:iCs/>
          <w:sz w:val="22"/>
          <w:szCs w:val="22"/>
        </w:rPr>
        <w:t xml:space="preserve"> par le candidat (visite de site, carnet de plans, relevés sur place) – marché à prix global et forfaitaire.</w:t>
      </w:r>
    </w:p>
    <w:p w14:paraId="30BED9FE" w14:textId="77777777" w:rsidR="008A504A" w:rsidRPr="00211073" w:rsidRDefault="008A504A">
      <w:pPr>
        <w:spacing w:before="40" w:after="200"/>
        <w:rPr>
          <w:rFonts w:ascii="Times New Roman" w:hAnsi="Times New Roman" w:cs="Times New Roman"/>
          <w:sz w:val="22"/>
          <w:szCs w:val="22"/>
        </w:rPr>
      </w:pPr>
    </w:p>
    <w:p w14:paraId="24BDBFA4" w14:textId="77777777" w:rsidR="008A504A" w:rsidRPr="00211073" w:rsidRDefault="003B730A">
      <w:pPr>
        <w:spacing w:before="200" w:after="40"/>
        <w:rPr>
          <w:rFonts w:ascii="Times New Roman" w:hAnsi="Times New Roman" w:cs="Times New Roman"/>
          <w:sz w:val="22"/>
          <w:szCs w:val="22"/>
        </w:rPr>
      </w:pPr>
      <w:r w:rsidRPr="00211073">
        <w:rPr>
          <w:rFonts w:ascii="Times New Roman" w:hAnsi="Times New Roman" w:cs="Times New Roman"/>
          <w:sz w:val="22"/>
          <w:szCs w:val="22"/>
        </w:rPr>
        <w:t>Fait à ……………………………………, le ……………………………</w:t>
      </w:r>
    </w:p>
    <w:p w14:paraId="1E6DAC4E" w14:textId="77777777" w:rsidR="008A504A" w:rsidRPr="00211073" w:rsidRDefault="003B730A">
      <w:pPr>
        <w:spacing w:before="120" w:after="600"/>
        <w:rPr>
          <w:rFonts w:ascii="Times New Roman" w:hAnsi="Times New Roman" w:cs="Times New Roman"/>
          <w:sz w:val="22"/>
          <w:szCs w:val="22"/>
        </w:rPr>
      </w:pPr>
      <w:r w:rsidRPr="00211073">
        <w:rPr>
          <w:rFonts w:ascii="Times New Roman" w:hAnsi="Times New Roman" w:cs="Times New Roman"/>
          <w:sz w:val="22"/>
          <w:szCs w:val="22"/>
        </w:rPr>
        <w:t>Le candidat (cachet et signature) :</w:t>
      </w:r>
    </w:p>
    <w:p w14:paraId="7077E8E0" w14:textId="77777777" w:rsidR="008A504A" w:rsidRPr="00211073" w:rsidRDefault="003B730A">
      <w:pPr>
        <w:spacing w:before="400" w:after="40"/>
        <w:rPr>
          <w:rFonts w:ascii="Times New Roman" w:hAnsi="Times New Roman" w:cs="Times New Roman"/>
          <w:sz w:val="22"/>
          <w:szCs w:val="22"/>
        </w:rPr>
      </w:pPr>
      <w:r w:rsidRPr="00211073">
        <w:rPr>
          <w:rFonts w:ascii="Times New Roman" w:hAnsi="Times New Roman" w:cs="Times New Roman"/>
          <w:sz w:val="22"/>
          <w:szCs w:val="22"/>
        </w:rPr>
        <w:t>Mention</w:t>
      </w:r>
      <w:r w:rsidR="00701C76">
        <w:rPr>
          <w:rFonts w:ascii="Times New Roman" w:hAnsi="Times New Roman" w:cs="Times New Roman"/>
          <w:sz w:val="22"/>
          <w:szCs w:val="22"/>
        </w:rPr>
        <w:t xml:space="preserve"> manuscrite « Lu et approuvé » </w:t>
      </w:r>
    </w:p>
    <w:sectPr w:rsidR="008A504A" w:rsidRPr="00211073">
      <w:pgSz w:w="11906" w:h="16838"/>
      <w:pgMar w:top="720" w:right="720" w:bottom="720" w:left="72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6A63"/>
    <w:multiLevelType w:val="hybridMultilevel"/>
    <w:tmpl w:val="360E20C6"/>
    <w:lvl w:ilvl="0" w:tplc="AEB4B11E">
      <w:start w:val="1"/>
      <w:numFmt w:val="bullet"/>
      <w:lvlText w:val="●"/>
      <w:lvlJc w:val="left"/>
      <w:pPr>
        <w:ind w:left="720" w:hanging="360"/>
      </w:pPr>
    </w:lvl>
    <w:lvl w:ilvl="1" w:tplc="489AD314">
      <w:start w:val="1"/>
      <w:numFmt w:val="bullet"/>
      <w:lvlText w:val="○"/>
      <w:lvlJc w:val="left"/>
      <w:pPr>
        <w:ind w:left="1440" w:hanging="360"/>
      </w:pPr>
    </w:lvl>
    <w:lvl w:ilvl="2" w:tplc="57E8C32C">
      <w:start w:val="1"/>
      <w:numFmt w:val="bullet"/>
      <w:lvlText w:val="■"/>
      <w:lvlJc w:val="left"/>
      <w:pPr>
        <w:ind w:left="2160" w:hanging="360"/>
      </w:pPr>
    </w:lvl>
    <w:lvl w:ilvl="3" w:tplc="FEBE87D4">
      <w:start w:val="1"/>
      <w:numFmt w:val="bullet"/>
      <w:lvlText w:val="●"/>
      <w:lvlJc w:val="left"/>
      <w:pPr>
        <w:ind w:left="2880" w:hanging="360"/>
      </w:pPr>
    </w:lvl>
    <w:lvl w:ilvl="4" w:tplc="691CC874">
      <w:start w:val="1"/>
      <w:numFmt w:val="bullet"/>
      <w:lvlText w:val="○"/>
      <w:lvlJc w:val="left"/>
      <w:pPr>
        <w:ind w:left="3600" w:hanging="360"/>
      </w:pPr>
    </w:lvl>
    <w:lvl w:ilvl="5" w:tplc="9BE883C8">
      <w:start w:val="1"/>
      <w:numFmt w:val="bullet"/>
      <w:lvlText w:val="■"/>
      <w:lvlJc w:val="left"/>
      <w:pPr>
        <w:ind w:left="4320" w:hanging="360"/>
      </w:pPr>
    </w:lvl>
    <w:lvl w:ilvl="6" w:tplc="0E5658C8">
      <w:start w:val="1"/>
      <w:numFmt w:val="bullet"/>
      <w:lvlText w:val="●"/>
      <w:lvlJc w:val="left"/>
      <w:pPr>
        <w:ind w:left="5040" w:hanging="360"/>
      </w:pPr>
    </w:lvl>
    <w:lvl w:ilvl="7" w:tplc="5B3ED2FA">
      <w:start w:val="1"/>
      <w:numFmt w:val="bullet"/>
      <w:lvlText w:val="●"/>
      <w:lvlJc w:val="left"/>
      <w:pPr>
        <w:ind w:left="5760" w:hanging="360"/>
      </w:pPr>
    </w:lvl>
    <w:lvl w:ilvl="8" w:tplc="4C2A5804">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04A"/>
    <w:rsid w:val="00031247"/>
    <w:rsid w:val="00211073"/>
    <w:rsid w:val="00277F68"/>
    <w:rsid w:val="002D4FA7"/>
    <w:rsid w:val="002E467D"/>
    <w:rsid w:val="003B730A"/>
    <w:rsid w:val="005B11DB"/>
    <w:rsid w:val="00701C76"/>
    <w:rsid w:val="0070536B"/>
    <w:rsid w:val="008A504A"/>
    <w:rsid w:val="009050CA"/>
    <w:rsid w:val="00A20C3E"/>
    <w:rsid w:val="00B8178E"/>
    <w:rsid w:val="00C62C71"/>
    <w:rsid w:val="00E776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8DACA"/>
  <w15:docId w15:val="{DFA1A209-AFB0-4B9D-8CED-7AAC33127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18"/>
        <w:szCs w:val="18"/>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18749-E0D8-4CF7-A87A-3B7DA96FA751}">
  <ds:schemaRefs>
    <ds:schemaRef ds:uri="http://schemas.microsoft.com/sharepoint/v3/contenttype/forms"/>
  </ds:schemaRefs>
</ds:datastoreItem>
</file>

<file path=customXml/itemProps2.xml><?xml version="1.0" encoding="utf-8"?>
<ds:datastoreItem xmlns:ds="http://schemas.openxmlformats.org/officeDocument/2006/customXml" ds:itemID="{5B54EF5E-577C-4137-86AA-804E8672C1B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b9c1fc8e-4872-46be-9d61-a8bb4d3efa2a"/>
    <ds:schemaRef ds:uri="http://www.w3.org/XML/1998/namespace"/>
  </ds:schemaRefs>
</ds:datastoreItem>
</file>

<file path=customXml/itemProps3.xml><?xml version="1.0" encoding="utf-8"?>
<ds:datastoreItem xmlns:ds="http://schemas.openxmlformats.org/officeDocument/2006/customXml" ds:itemID="{A4E9D088-98B7-47E8-8226-F34A355FA427}"/>
</file>

<file path=docProps/app.xml><?xml version="1.0" encoding="utf-8"?>
<Properties xmlns="http://schemas.openxmlformats.org/officeDocument/2006/extended-properties" xmlns:vt="http://schemas.openxmlformats.org/officeDocument/2006/docPropsVTypes">
  <Template>Normal.dotm</Template>
  <TotalTime>44</TotalTime>
  <Pages>20</Pages>
  <Words>7220</Words>
  <Characters>39711</Characters>
  <Application>Microsoft Office Word</Application>
  <DocSecurity>0</DocSecurity>
  <Lines>330</Lines>
  <Paragraphs>93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46838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PAES Jose SA CE MINDEF</cp:lastModifiedBy>
  <cp:revision>15</cp:revision>
  <dcterms:created xsi:type="dcterms:W3CDTF">2026-07-08T21:16:00Z</dcterms:created>
  <dcterms:modified xsi:type="dcterms:W3CDTF">2026-07-27T12:06:00Z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